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2AAF0">
      <w:pPr>
        <w:spacing w:line="440" w:lineRule="exact"/>
        <w:jc w:val="center"/>
        <w:rPr>
          <w:rFonts w:ascii="黑体" w:hAnsi="黑体" w:eastAsia="黑体" w:cs="Times New Roman"/>
          <w:sz w:val="32"/>
          <w:szCs w:val="32"/>
        </w:rPr>
      </w:pPr>
      <w:r>
        <w:rPr>
          <w:rFonts w:hint="eastAsia" w:ascii="黑体" w:hAnsi="黑体" w:eastAsia="黑体" w:cs="Times New Roman"/>
          <w:sz w:val="32"/>
          <w:szCs w:val="32"/>
        </w:rPr>
        <w:t>西藏自治区贵金属饰品产品质量监督抽查实施细则</w:t>
      </w:r>
    </w:p>
    <w:p w14:paraId="1917ED16">
      <w:pPr>
        <w:spacing w:line="440" w:lineRule="exact"/>
        <w:jc w:val="center"/>
        <w:rPr>
          <w:rFonts w:ascii="黑体" w:hAnsi="黑体" w:eastAsia="黑体" w:cs="Times New Roman"/>
          <w:sz w:val="32"/>
          <w:szCs w:val="32"/>
        </w:rPr>
      </w:pP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5</w:t>
      </w:r>
      <w:r>
        <w:rPr>
          <w:rFonts w:hint="eastAsia" w:ascii="黑体" w:hAnsi="黑体" w:eastAsia="黑体" w:cs="Times New Roman"/>
          <w:sz w:val="32"/>
          <w:szCs w:val="32"/>
        </w:rPr>
        <w:t>年版）</w:t>
      </w:r>
    </w:p>
    <w:p w14:paraId="3597CC76">
      <w:pPr>
        <w:spacing w:line="440" w:lineRule="exact"/>
        <w:rPr>
          <w:rFonts w:ascii="Times New Roman" w:hAnsi="Times New Roman" w:eastAsia="宋体" w:cs="Times New Roman"/>
          <w:szCs w:val="21"/>
        </w:rPr>
      </w:pPr>
    </w:p>
    <w:p w14:paraId="29122524">
      <w:pPr>
        <w:spacing w:line="440" w:lineRule="exact"/>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5AF6BAB2">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以随机抽样的方式在被抽样生产者、销售者的待销产品中抽取。</w:t>
      </w:r>
    </w:p>
    <w:p w14:paraId="09FD61F8">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770EF069">
      <w:pPr>
        <w:adjustRightInd w:val="0"/>
        <w:snapToGrid w:val="0"/>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抽样基数满足抽样数量即可。</w:t>
      </w:r>
    </w:p>
    <w:p w14:paraId="5C93D12D">
      <w:pPr>
        <w:adjustRightInd w:val="0"/>
        <w:snapToGrid w:val="0"/>
        <w:spacing w:line="440" w:lineRule="exact"/>
        <w:ind w:firstLine="420" w:firstLineChars="200"/>
        <w:rPr>
          <w:rFonts w:hint="eastAsia" w:cs="Times New Roman" w:asciiTheme="minorEastAsia" w:hAnsiTheme="minorEastAsia"/>
          <w:szCs w:val="21"/>
        </w:rPr>
      </w:pPr>
      <w:r>
        <w:rPr>
          <w:rFonts w:hint="eastAsia" w:cs="Times New Roman" w:asciiTheme="minorEastAsia" w:hAnsiTheme="minorEastAsia"/>
          <w:szCs w:val="21"/>
        </w:rPr>
        <w:t>抽取样品应为同一生产者（厂家印记相同）按照同一标准生产的同一商标、同一款式和同一贵金属材料、含量的产品。</w:t>
      </w:r>
    </w:p>
    <w:p w14:paraId="6281D608">
      <w:pPr>
        <w:adjustRightInd w:val="0"/>
        <w:snapToGrid w:val="0"/>
        <w:spacing w:line="440" w:lineRule="exact"/>
        <w:ind w:firstLine="420" w:firstLineChars="200"/>
        <w:rPr>
          <w:rFonts w:hint="eastAsia" w:cs="Times New Roman" w:asciiTheme="minorEastAsia" w:hAnsiTheme="minorEastAsia"/>
          <w:szCs w:val="21"/>
        </w:rPr>
      </w:pPr>
      <w:r>
        <w:rPr>
          <w:rFonts w:hint="eastAsia" w:cs="Times New Roman" w:asciiTheme="minorEastAsia" w:hAnsiTheme="minorEastAsia"/>
          <w:szCs w:val="21"/>
        </w:rPr>
        <w:t>贵金属含量(</w:t>
      </w:r>
      <w:r>
        <w:rPr>
          <w:rFonts w:hint="eastAsia" w:cs="Times New Roman" w:asciiTheme="minorEastAsia" w:hAnsiTheme="minorEastAsia"/>
          <w:szCs w:val="21"/>
          <w:lang w:val="en-US" w:eastAsia="zh-CN"/>
        </w:rPr>
        <w:t>≥</w:t>
      </w:r>
      <w:r>
        <w:rPr>
          <w:rFonts w:hint="eastAsia" w:cs="Times New Roman" w:asciiTheme="minorEastAsia" w:hAnsiTheme="minorEastAsia"/>
          <w:szCs w:val="21"/>
        </w:rPr>
        <w:t>999.9%)的产品</w:t>
      </w:r>
      <w:r>
        <w:rPr>
          <w:rFonts w:hint="eastAsia" w:cs="Times New Roman" w:asciiTheme="minorEastAsia" w:hAnsiTheme="minorEastAsia"/>
          <w:szCs w:val="21"/>
          <w:lang w:eastAsia="zh-CN"/>
        </w:rPr>
        <w:t>：</w:t>
      </w:r>
      <w:r>
        <w:rPr>
          <w:rFonts w:hint="eastAsia" w:cs="Times New Roman" w:asciiTheme="minorEastAsia" w:hAnsiTheme="minorEastAsia"/>
          <w:szCs w:val="21"/>
        </w:rPr>
        <w:t>抽取样品2件，其中检样1件，备样1件。</w:t>
      </w:r>
    </w:p>
    <w:p w14:paraId="70D15A69">
      <w:pPr>
        <w:adjustRightInd w:val="0"/>
        <w:snapToGrid w:val="0"/>
        <w:spacing w:line="440" w:lineRule="exact"/>
        <w:ind w:firstLine="420" w:firstLineChars="200"/>
        <w:rPr>
          <w:rFonts w:hint="eastAsia" w:cs="Times New Roman" w:asciiTheme="minorEastAsia" w:hAnsiTheme="minorEastAsia"/>
          <w:szCs w:val="21"/>
        </w:rPr>
      </w:pPr>
      <w:r>
        <w:rPr>
          <w:rFonts w:hint="eastAsia" w:cs="Times New Roman" w:asciiTheme="minorEastAsia" w:hAnsiTheme="minorEastAsia"/>
          <w:szCs w:val="21"/>
        </w:rPr>
        <w:t>贵金属含量(</w:t>
      </w:r>
      <w:r>
        <w:rPr>
          <w:rFonts w:hint="eastAsia" w:cs="Times New Roman" w:asciiTheme="minorEastAsia" w:hAnsiTheme="minorEastAsia"/>
          <w:szCs w:val="21"/>
          <w:lang w:val="en-US" w:eastAsia="zh-CN"/>
        </w:rPr>
        <w:t>＜</w:t>
      </w:r>
      <w:r>
        <w:rPr>
          <w:rFonts w:hint="eastAsia" w:cs="Times New Roman" w:asciiTheme="minorEastAsia" w:hAnsiTheme="minorEastAsia"/>
          <w:szCs w:val="21"/>
        </w:rPr>
        <w:t>999.9%)的产品</w:t>
      </w:r>
      <w:r>
        <w:rPr>
          <w:rFonts w:hint="eastAsia" w:cs="Times New Roman" w:asciiTheme="minorEastAsia" w:hAnsiTheme="minorEastAsia"/>
          <w:szCs w:val="21"/>
          <w:lang w:eastAsia="zh-CN"/>
        </w:rPr>
        <w:t>：</w:t>
      </w:r>
      <w:r>
        <w:rPr>
          <w:rFonts w:hint="eastAsia" w:cs="Times New Roman" w:asciiTheme="minorEastAsia" w:hAnsiTheme="minorEastAsia"/>
          <w:szCs w:val="21"/>
        </w:rPr>
        <w:t>抽取检样1件，无备样</w:t>
      </w:r>
      <w:r>
        <w:rPr>
          <w:rFonts w:hint="eastAsia" w:cs="Times New Roman" w:asciiTheme="minorEastAsia" w:hAnsiTheme="minorEastAsia"/>
          <w:szCs w:val="21"/>
          <w:lang w:eastAsia="zh-CN"/>
        </w:rPr>
        <w:t>，</w:t>
      </w:r>
      <w:r>
        <w:rPr>
          <w:rFonts w:hint="eastAsia" w:cs="Times New Roman" w:asciiTheme="minorEastAsia" w:hAnsiTheme="minorEastAsia"/>
          <w:szCs w:val="21"/>
        </w:rPr>
        <w:t>采用原样复检。</w:t>
      </w:r>
    </w:p>
    <w:p w14:paraId="78C43A79">
      <w:pPr>
        <w:spacing w:line="440" w:lineRule="exact"/>
        <w:rPr>
          <w:rFonts w:ascii="Times New Roman" w:hAnsi="Times New Roman" w:eastAsia="宋体" w:cs="Times New Roman"/>
          <w:szCs w:val="21"/>
        </w:rPr>
      </w:pPr>
      <w:r>
        <w:rPr>
          <w:rFonts w:ascii="黑体" w:hAnsi="黑体" w:eastAsia="黑体" w:cs="Times New Roman"/>
          <w:szCs w:val="21"/>
        </w:rPr>
        <w:t>2检验依据</w:t>
      </w:r>
    </w:p>
    <w:p w14:paraId="34F513DF">
      <w:pPr>
        <w:spacing w:line="440" w:lineRule="exact"/>
        <w:jc w:val="center"/>
        <w:rPr>
          <w:rFonts w:cs="Times New Roman" w:asciiTheme="minorEastAsia" w:hAnsiTheme="minorEastAsia"/>
          <w:szCs w:val="21"/>
        </w:rPr>
      </w:pPr>
      <w:r>
        <w:rPr>
          <w:rFonts w:hint="eastAsia" w:cs="Times New Roman" w:asciiTheme="minorEastAsia" w:hAnsiTheme="minorEastAsia"/>
          <w:szCs w:val="21"/>
        </w:rPr>
        <w:t>表</w:t>
      </w:r>
      <w:r>
        <w:rPr>
          <w:rFonts w:cs="Times New Roman" w:asciiTheme="minorEastAsia" w:hAnsiTheme="minorEastAsia"/>
          <w:szCs w:val="21"/>
        </w:rPr>
        <w:t>1</w:t>
      </w:r>
      <w:r>
        <w:rPr>
          <w:rFonts w:hint="eastAsia" w:cs="Times New Roman" w:asciiTheme="minorEastAsia" w:hAnsiTheme="minorEastAsia"/>
          <w:szCs w:val="21"/>
        </w:rPr>
        <w:t>贵金属饰品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3692"/>
        <w:gridCol w:w="3878"/>
      </w:tblGrid>
      <w:tr w14:paraId="3280E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2B8D7EE7">
            <w:pPr>
              <w:spacing w:line="440" w:lineRule="exact"/>
              <w:jc w:val="center"/>
              <w:rPr>
                <w:rFonts w:cs="Times New Roman" w:asciiTheme="minorEastAsia" w:hAnsiTheme="minorEastAsia"/>
                <w:szCs w:val="21"/>
              </w:rPr>
            </w:pPr>
            <w:r>
              <w:rPr>
                <w:rFonts w:cs="Times New Roman" w:asciiTheme="minorEastAsia" w:hAnsiTheme="minorEastAsia"/>
                <w:szCs w:val="21"/>
              </w:rPr>
              <w:t>序号</w:t>
            </w:r>
          </w:p>
        </w:tc>
        <w:tc>
          <w:tcPr>
            <w:tcW w:w="3692" w:type="dxa"/>
            <w:vAlign w:val="center"/>
          </w:tcPr>
          <w:p w14:paraId="7EEF7743">
            <w:pPr>
              <w:spacing w:line="440" w:lineRule="exact"/>
              <w:jc w:val="center"/>
              <w:rPr>
                <w:rFonts w:cs="Times New Roman" w:asciiTheme="minorEastAsia" w:hAnsiTheme="minorEastAsia"/>
                <w:szCs w:val="21"/>
              </w:rPr>
            </w:pPr>
            <w:r>
              <w:rPr>
                <w:rFonts w:cs="Times New Roman" w:asciiTheme="minorEastAsia" w:hAnsiTheme="minorEastAsia"/>
                <w:szCs w:val="21"/>
              </w:rPr>
              <w:t>检验项目</w:t>
            </w:r>
          </w:p>
        </w:tc>
        <w:tc>
          <w:tcPr>
            <w:tcW w:w="3878" w:type="dxa"/>
            <w:vAlign w:val="center"/>
          </w:tcPr>
          <w:p w14:paraId="150E9111">
            <w:pPr>
              <w:spacing w:line="440" w:lineRule="exact"/>
              <w:jc w:val="center"/>
              <w:rPr>
                <w:rFonts w:cs="Times New Roman" w:asciiTheme="minorEastAsia" w:hAnsiTheme="minorEastAsia"/>
                <w:szCs w:val="21"/>
              </w:rPr>
            </w:pPr>
            <w:r>
              <w:rPr>
                <w:rFonts w:cs="Times New Roman" w:asciiTheme="minorEastAsia" w:hAnsiTheme="minorEastAsia"/>
                <w:szCs w:val="21"/>
              </w:rPr>
              <w:t>检验方法</w:t>
            </w:r>
          </w:p>
        </w:tc>
      </w:tr>
      <w:tr w14:paraId="12DF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5B43DF04">
            <w:pPr>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3692" w:type="dxa"/>
            <w:vAlign w:val="center"/>
          </w:tcPr>
          <w:p w14:paraId="18632C69">
            <w:pPr>
              <w:adjustRightInd w:val="0"/>
              <w:snapToGrid w:val="0"/>
              <w:jc w:val="center"/>
              <w:rPr>
                <w:rFonts w:ascii="Times New Roman" w:hAnsi="Times New Roman" w:cs="Times New Roman"/>
                <w:szCs w:val="21"/>
              </w:rPr>
            </w:pPr>
            <w:r>
              <w:rPr>
                <w:rFonts w:hint="eastAsia" w:ascii="Times New Roman" w:hAnsi="Times New Roman" w:cs="Times New Roman"/>
                <w:szCs w:val="21"/>
              </w:rPr>
              <w:t>贵金属含量</w:t>
            </w:r>
          </w:p>
        </w:tc>
        <w:tc>
          <w:tcPr>
            <w:tcW w:w="3878" w:type="dxa"/>
            <w:vAlign w:val="center"/>
          </w:tcPr>
          <w:p w14:paraId="532E6C94">
            <w:pPr>
              <w:spacing w:line="240" w:lineRule="auto"/>
              <w:jc w:val="center"/>
              <w:rPr>
                <w:rFonts w:ascii="Times New Roman" w:hAnsi="Times New Roman" w:cs="Times New Roman"/>
                <w:szCs w:val="21"/>
              </w:rPr>
            </w:pPr>
            <w:r>
              <w:rPr>
                <w:rFonts w:ascii="Times New Roman" w:hAnsi="Times New Roman" w:cs="Times New Roman"/>
                <w:szCs w:val="21"/>
              </w:rPr>
              <w:t>GB/T 18043-2013</w:t>
            </w:r>
          </w:p>
          <w:p w14:paraId="64F2F2F1">
            <w:pPr>
              <w:spacing w:line="24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GB/T 40114-2021</w:t>
            </w:r>
          </w:p>
          <w:p w14:paraId="76382C03">
            <w:pPr>
              <w:spacing w:line="24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GB/T 38145-2019</w:t>
            </w:r>
          </w:p>
          <w:p w14:paraId="6FDF6D13">
            <w:pPr>
              <w:spacing w:line="240" w:lineRule="auto"/>
              <w:jc w:val="center"/>
              <w:rPr>
                <w:rFonts w:ascii="Times New Roman" w:hAnsi="Times New Roman" w:cs="Times New Roman"/>
                <w:szCs w:val="21"/>
              </w:rPr>
            </w:pPr>
            <w:r>
              <w:rPr>
                <w:rFonts w:ascii="Times New Roman" w:hAnsi="Times New Roman" w:cs="Times New Roman"/>
                <w:color w:val="000000" w:themeColor="text1"/>
                <w:szCs w:val="21"/>
                <w14:textFill>
                  <w14:solidFill>
                    <w14:schemeClr w14:val="tx1"/>
                  </w14:solidFill>
                </w14:textFill>
              </w:rPr>
              <w:t>GB/T 38162-2019</w:t>
            </w:r>
          </w:p>
        </w:tc>
      </w:tr>
      <w:tr w14:paraId="55973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2275AC99">
            <w:pPr>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3692" w:type="dxa"/>
            <w:vAlign w:val="center"/>
          </w:tcPr>
          <w:p w14:paraId="05869A87">
            <w:pPr>
              <w:adjustRightInd w:val="0"/>
              <w:snapToGrid w:val="0"/>
              <w:jc w:val="center"/>
              <w:rPr>
                <w:rFonts w:ascii="Times New Roman" w:hAnsi="Times New Roman" w:cs="Times New Roman"/>
                <w:szCs w:val="21"/>
              </w:rPr>
            </w:pPr>
            <w:r>
              <w:rPr>
                <w:rFonts w:hint="eastAsia" w:ascii="Times New Roman" w:hAnsi="Times New Roman" w:cs="Times New Roman"/>
                <w:szCs w:val="21"/>
              </w:rPr>
              <w:t>质量测量允差</w:t>
            </w:r>
          </w:p>
        </w:tc>
        <w:tc>
          <w:tcPr>
            <w:tcW w:w="3878" w:type="dxa"/>
            <w:vAlign w:val="center"/>
          </w:tcPr>
          <w:p w14:paraId="551B774E">
            <w:pPr>
              <w:spacing w:line="240" w:lineRule="auto"/>
              <w:jc w:val="center"/>
              <w:rPr>
                <w:rFonts w:ascii="Times New Roman" w:hAnsi="Times New Roman" w:cs="Times New Roman"/>
                <w:szCs w:val="21"/>
              </w:rPr>
            </w:pPr>
            <w:r>
              <w:rPr>
                <w:rFonts w:ascii="Times New Roman" w:hAnsi="Times New Roman" w:cs="Times New Roman"/>
                <w:szCs w:val="21"/>
              </w:rPr>
              <w:t>QB/T 1690-2021</w:t>
            </w:r>
          </w:p>
        </w:tc>
      </w:tr>
      <w:tr w14:paraId="7E80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7E8DCADC">
            <w:pPr>
              <w:adjustRightInd w:val="0"/>
              <w:snapToGrid w:val="0"/>
              <w:jc w:val="center"/>
              <w:rPr>
                <w:rFonts w:ascii="Times New Roman" w:hAnsi="Times New Roman" w:cs="Times New Roman"/>
                <w:szCs w:val="21"/>
              </w:rPr>
            </w:pPr>
            <w:r>
              <w:rPr>
                <w:rFonts w:ascii="Times New Roman" w:hAnsi="Times New Roman" w:cs="Times New Roman"/>
                <w:szCs w:val="21"/>
              </w:rPr>
              <w:t>3</w:t>
            </w:r>
          </w:p>
        </w:tc>
        <w:tc>
          <w:tcPr>
            <w:tcW w:w="3692" w:type="dxa"/>
            <w:vAlign w:val="center"/>
          </w:tcPr>
          <w:p w14:paraId="01916BE0">
            <w:pPr>
              <w:adjustRightInd w:val="0"/>
              <w:snapToGrid w:val="0"/>
              <w:jc w:val="center"/>
              <w:rPr>
                <w:rFonts w:ascii="Times New Roman" w:hAnsi="Times New Roman" w:cs="Times New Roman"/>
                <w:szCs w:val="21"/>
              </w:rPr>
            </w:pPr>
            <w:r>
              <w:rPr>
                <w:rFonts w:hint="eastAsia" w:ascii="Times New Roman" w:hAnsi="Times New Roman" w:cs="Times New Roman"/>
                <w:szCs w:val="21"/>
              </w:rPr>
              <w:t>标签</w:t>
            </w:r>
          </w:p>
        </w:tc>
        <w:tc>
          <w:tcPr>
            <w:tcW w:w="3878" w:type="dxa"/>
            <w:vAlign w:val="center"/>
          </w:tcPr>
          <w:p w14:paraId="2F3045C2">
            <w:pPr>
              <w:spacing w:line="240" w:lineRule="auto"/>
              <w:jc w:val="center"/>
              <w:rPr>
                <w:rFonts w:ascii="Times New Roman" w:hAnsi="Times New Roman" w:cs="Times New Roman"/>
                <w:szCs w:val="21"/>
              </w:rPr>
            </w:pPr>
            <w:r>
              <w:rPr>
                <w:rFonts w:ascii="Times New Roman" w:hAnsi="Times New Roman" w:cs="Times New Roman"/>
                <w:szCs w:val="21"/>
              </w:rPr>
              <w:t>GB/T 31912-2015</w:t>
            </w:r>
          </w:p>
        </w:tc>
      </w:tr>
      <w:tr w14:paraId="15798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6278E05F">
            <w:pPr>
              <w:adjustRightInd w:val="0"/>
              <w:snapToGrid w:val="0"/>
              <w:jc w:val="center"/>
              <w:rPr>
                <w:rFonts w:ascii="Times New Roman" w:hAnsi="Times New Roman" w:cs="Times New Roman"/>
                <w:szCs w:val="21"/>
              </w:rPr>
            </w:pPr>
            <w:r>
              <w:rPr>
                <w:rFonts w:ascii="Times New Roman" w:hAnsi="Times New Roman" w:cs="Times New Roman"/>
                <w:szCs w:val="21"/>
              </w:rPr>
              <w:t>4</w:t>
            </w:r>
          </w:p>
        </w:tc>
        <w:tc>
          <w:tcPr>
            <w:tcW w:w="3692" w:type="dxa"/>
            <w:vAlign w:val="center"/>
          </w:tcPr>
          <w:p w14:paraId="0A6D3257">
            <w:pPr>
              <w:adjustRightInd w:val="0"/>
              <w:snapToGrid w:val="0"/>
              <w:jc w:val="center"/>
              <w:rPr>
                <w:rFonts w:ascii="Times New Roman" w:hAnsi="Times New Roman" w:cs="Times New Roman"/>
                <w:szCs w:val="21"/>
              </w:rPr>
            </w:pPr>
            <w:r>
              <w:rPr>
                <w:rFonts w:hint="eastAsia" w:ascii="Times New Roman" w:hAnsi="Times New Roman" w:cs="Times New Roman"/>
                <w:szCs w:val="21"/>
              </w:rPr>
              <w:t>印记</w:t>
            </w:r>
          </w:p>
        </w:tc>
        <w:tc>
          <w:tcPr>
            <w:tcW w:w="3878" w:type="dxa"/>
            <w:vAlign w:val="center"/>
          </w:tcPr>
          <w:p w14:paraId="686193E2">
            <w:pPr>
              <w:spacing w:line="240" w:lineRule="auto"/>
              <w:jc w:val="center"/>
              <w:rPr>
                <w:rFonts w:ascii="Times New Roman" w:hAnsi="Times New Roman" w:cs="Times New Roman"/>
                <w:szCs w:val="21"/>
              </w:rPr>
            </w:pPr>
            <w:r>
              <w:rPr>
                <w:rFonts w:ascii="Times New Roman" w:hAnsi="Times New Roman" w:cs="Times New Roman"/>
                <w:szCs w:val="21"/>
              </w:rPr>
              <w:t>GB/T 31912-2015</w:t>
            </w:r>
          </w:p>
        </w:tc>
      </w:tr>
      <w:tr w14:paraId="3B93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 w:type="dxa"/>
            <w:vAlign w:val="center"/>
          </w:tcPr>
          <w:p w14:paraId="5FDB5C7E">
            <w:pPr>
              <w:adjustRightInd w:val="0"/>
              <w:snapToGrid w:val="0"/>
              <w:jc w:val="center"/>
              <w:rPr>
                <w:rFonts w:ascii="Times New Roman" w:hAnsi="Times New Roman" w:cs="Times New Roman"/>
                <w:szCs w:val="21"/>
              </w:rPr>
            </w:pPr>
            <w:r>
              <w:rPr>
                <w:rFonts w:ascii="Times New Roman" w:hAnsi="Times New Roman" w:cs="Times New Roman"/>
                <w:szCs w:val="21"/>
              </w:rPr>
              <w:t>5</w:t>
            </w:r>
          </w:p>
        </w:tc>
        <w:tc>
          <w:tcPr>
            <w:tcW w:w="3692" w:type="dxa"/>
            <w:vAlign w:val="center"/>
          </w:tcPr>
          <w:p w14:paraId="25CD40DA">
            <w:pPr>
              <w:adjustRightInd w:val="0"/>
              <w:snapToGrid w:val="0"/>
              <w:jc w:val="center"/>
              <w:rPr>
                <w:rFonts w:ascii="Times New Roman" w:hAnsi="Times New Roman" w:cs="Times New Roman"/>
                <w:szCs w:val="21"/>
              </w:rPr>
            </w:pPr>
            <w:r>
              <w:rPr>
                <w:rFonts w:hint="eastAsia" w:ascii="Times New Roman" w:hAnsi="Times New Roman" w:cs="Times New Roman"/>
                <w:szCs w:val="21"/>
              </w:rPr>
              <w:t>定名</w:t>
            </w:r>
          </w:p>
        </w:tc>
        <w:tc>
          <w:tcPr>
            <w:tcW w:w="3878" w:type="dxa"/>
            <w:vAlign w:val="center"/>
          </w:tcPr>
          <w:p w14:paraId="2D700361">
            <w:pPr>
              <w:spacing w:line="240" w:lineRule="auto"/>
              <w:jc w:val="center"/>
              <w:rPr>
                <w:rFonts w:ascii="Times New Roman" w:hAnsi="Times New Roman" w:cs="Times New Roman"/>
                <w:szCs w:val="21"/>
              </w:rPr>
            </w:pPr>
            <w:r>
              <w:rPr>
                <w:rFonts w:ascii="Times New Roman" w:hAnsi="Times New Roman" w:cs="Times New Roman"/>
                <w:szCs w:val="21"/>
              </w:rPr>
              <w:t>GB 11887-2012</w:t>
            </w:r>
            <w:r>
              <w:rPr>
                <w:rFonts w:ascii="Times New Roman" w:cs="Times New Roman" w:hAnsiTheme="minorEastAsia"/>
                <w:szCs w:val="21"/>
              </w:rPr>
              <w:t>及第</w:t>
            </w:r>
            <w:r>
              <w:rPr>
                <w:rFonts w:ascii="Times New Roman" w:hAnsi="Times New Roman" w:cs="Times New Roman"/>
                <w:szCs w:val="21"/>
              </w:rPr>
              <w:t>1</w:t>
            </w:r>
            <w:r>
              <w:rPr>
                <w:rFonts w:ascii="Times New Roman" w:cs="Times New Roman" w:hAnsiTheme="minorEastAsia"/>
                <w:szCs w:val="21"/>
              </w:rPr>
              <w:t>号修改单</w:t>
            </w:r>
          </w:p>
        </w:tc>
      </w:tr>
    </w:tbl>
    <w:p w14:paraId="03774EC1">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089BFB8F">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1F8E7EF7">
      <w:pPr>
        <w:pStyle w:val="4"/>
      </w:pPr>
    </w:p>
    <w:p w14:paraId="577122BF">
      <w:pPr>
        <w:spacing w:line="440" w:lineRule="exact"/>
        <w:rPr>
          <w:rFonts w:ascii="黑体" w:hAnsi="黑体" w:eastAsia="黑体" w:cs="Times New Roman"/>
          <w:szCs w:val="21"/>
        </w:rPr>
      </w:pPr>
      <w:r>
        <w:rPr>
          <w:rFonts w:ascii="黑体" w:hAnsi="黑体" w:eastAsia="黑体" w:cs="Times New Roman"/>
          <w:szCs w:val="21"/>
        </w:rPr>
        <w:t xml:space="preserve">3 </w:t>
      </w:r>
      <w:r>
        <w:rPr>
          <w:rFonts w:hint="eastAsia" w:ascii="黑体" w:hAnsi="黑体" w:eastAsia="黑体" w:cs="Times New Roman"/>
          <w:szCs w:val="21"/>
        </w:rPr>
        <w:t>判定规则</w:t>
      </w:r>
    </w:p>
    <w:p w14:paraId="69C87AB6">
      <w:pPr>
        <w:snapToGrid w:val="0"/>
        <w:spacing w:line="440" w:lineRule="exact"/>
        <w:rPr>
          <w:rFonts w:asciiTheme="minorEastAsia" w:hAnsiTheme="minorEastAsia"/>
          <w:szCs w:val="21"/>
        </w:rPr>
      </w:pPr>
      <w:r>
        <w:rPr>
          <w:rFonts w:asciiTheme="minorEastAsia" w:hAnsiTheme="minorEastAsia"/>
          <w:szCs w:val="21"/>
        </w:rPr>
        <w:t>3.1依据标准</w:t>
      </w:r>
    </w:p>
    <w:p w14:paraId="50D23E7F">
      <w:pPr>
        <w:snapToGrid w:val="0"/>
        <w:spacing w:line="440" w:lineRule="exact"/>
        <w:ind w:firstLine="420" w:firstLineChars="200"/>
        <w:rPr>
          <w:szCs w:val="21"/>
        </w:rPr>
      </w:pPr>
      <w:r>
        <w:rPr>
          <w:rFonts w:ascii="Times New Roman" w:hAnsi="Times New Roman" w:cs="Times New Roman"/>
          <w:szCs w:val="21"/>
        </w:rPr>
        <w:t xml:space="preserve">GB 11887-2012 </w:t>
      </w:r>
      <w:r>
        <w:rPr>
          <w:szCs w:val="21"/>
        </w:rPr>
        <w:t>首饰贵金属纯度的规定及命名方法及第1号修改单</w:t>
      </w:r>
    </w:p>
    <w:p w14:paraId="1666783D">
      <w:pPr>
        <w:snapToGrid w:val="0"/>
        <w:spacing w:line="440" w:lineRule="exact"/>
        <w:ind w:firstLine="417" w:firstLineChars="199"/>
        <w:rPr>
          <w:szCs w:val="21"/>
        </w:rPr>
      </w:pPr>
      <w:r>
        <w:rPr>
          <w:rFonts w:ascii="Times New Roman" w:hAnsi="Times New Roman" w:cs="Times New Roman"/>
          <w:szCs w:val="21"/>
        </w:rPr>
        <w:t xml:space="preserve">GB/T 31912-2015 </w:t>
      </w:r>
      <w:r>
        <w:rPr>
          <w:rFonts w:hint="eastAsia"/>
          <w:szCs w:val="21"/>
        </w:rPr>
        <w:t>饰品</w:t>
      </w:r>
      <w:r>
        <w:rPr>
          <w:rFonts w:hint="eastAsia"/>
          <w:szCs w:val="21"/>
          <w:lang w:val="en-US" w:eastAsia="zh-CN"/>
        </w:rPr>
        <w:t xml:space="preserve"> </w:t>
      </w:r>
      <w:bookmarkStart w:id="0" w:name="_GoBack"/>
      <w:bookmarkEnd w:id="0"/>
      <w:r>
        <w:rPr>
          <w:rFonts w:hint="eastAsia"/>
          <w:szCs w:val="21"/>
        </w:rPr>
        <w:t>标识</w:t>
      </w:r>
    </w:p>
    <w:p w14:paraId="25CF9653">
      <w:pPr>
        <w:snapToGrid w:val="0"/>
        <w:spacing w:line="440" w:lineRule="exact"/>
        <w:ind w:firstLine="420" w:firstLineChars="200"/>
        <w:rPr>
          <w:szCs w:val="21"/>
        </w:rPr>
      </w:pPr>
      <w:r>
        <w:rPr>
          <w:rFonts w:ascii="Times New Roman" w:hAnsi="Times New Roman" w:cs="Times New Roman"/>
          <w:szCs w:val="21"/>
        </w:rPr>
        <w:t>QB/T 1690-2021</w:t>
      </w:r>
      <w:r>
        <w:rPr>
          <w:szCs w:val="21"/>
        </w:rPr>
        <w:t xml:space="preserve"> 贵金属饰品质量测量允差的规定</w:t>
      </w:r>
    </w:p>
    <w:p w14:paraId="2BE73EBC">
      <w:pPr>
        <w:spacing w:line="440" w:lineRule="exact"/>
        <w:ind w:firstLine="420" w:firstLineChars="200"/>
        <w:rPr>
          <w:szCs w:val="21"/>
        </w:rPr>
      </w:pPr>
      <w:r>
        <w:rPr>
          <w:rFonts w:ascii="Times New Roman" w:hAnsi="Times New Roman" w:eastAsia="宋体" w:cs="Times New Roman"/>
          <w:szCs w:val="21"/>
        </w:rPr>
        <w:t>现行有效的企业标准、团体标准、地方标准及产品明示质量要求</w:t>
      </w:r>
    </w:p>
    <w:p w14:paraId="56BF118B">
      <w:pPr>
        <w:snapToGrid w:val="0"/>
        <w:spacing w:line="440" w:lineRule="exact"/>
        <w:rPr>
          <w:szCs w:val="21"/>
        </w:rPr>
      </w:pPr>
      <w:r>
        <w:rPr>
          <w:szCs w:val="21"/>
        </w:rPr>
        <w:t>3.2判定原则</w:t>
      </w:r>
    </w:p>
    <w:p w14:paraId="48D61A49">
      <w:pPr>
        <w:snapToGrid w:val="0"/>
        <w:spacing w:line="440" w:lineRule="exact"/>
        <w:ind w:firstLine="417" w:firstLineChars="199"/>
        <w:rPr>
          <w:szCs w:val="21"/>
        </w:rPr>
      </w:pPr>
      <w:r>
        <w:rPr>
          <w:rFonts w:hint="eastAsia"/>
          <w:szCs w:val="21"/>
        </w:rPr>
        <w:t>经检验，检验项目全部合格，判定为被抽查产品所检项目未发现不合格；检验项目中任一项或一项以上不合格，判定为被抽查产品不合格。</w:t>
      </w:r>
    </w:p>
    <w:p w14:paraId="3990E61D">
      <w:pPr>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14:paraId="7D5198E2">
      <w:pPr>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14:paraId="4F2A5D85">
      <w:pPr>
        <w:snapToGrid w:val="0"/>
        <w:spacing w:line="440" w:lineRule="exact"/>
        <w:ind w:firstLine="417" w:firstLineChars="199"/>
        <w:rPr>
          <w:szCs w:val="21"/>
        </w:rPr>
      </w:pPr>
      <w:r>
        <w:rPr>
          <w:rFonts w:hint="eastAsia"/>
          <w:szCs w:val="21"/>
        </w:rPr>
        <w:t>若被检产品明示的质量要求低于或包含本细则中检验项目依据的推荐性标准要求时，应以被检产品明示的质量要求判定。</w:t>
      </w:r>
    </w:p>
    <w:p w14:paraId="1D998E2E">
      <w:pPr>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14:paraId="762686C4">
      <w:pPr>
        <w:snapToGrid w:val="0"/>
        <w:spacing w:line="440" w:lineRule="exact"/>
        <w:ind w:firstLine="417" w:firstLineChars="199"/>
      </w:pPr>
      <w:r>
        <w:rPr>
          <w:rFonts w:hint="eastAsia"/>
          <w:szCs w:val="21"/>
        </w:rPr>
        <w:t>若被检产品明示的质量要求缺少本细则中检验项目依据的推荐性标准要求时，该项目不参与判定。</w:t>
      </w:r>
    </w:p>
    <w:p w14:paraId="7D7FC524">
      <w:pPr>
        <w:spacing w:line="440" w:lineRule="exact"/>
        <w:rPr>
          <w:rFonts w:ascii="黑体" w:hAnsi="黑体" w:eastAsia="黑体" w:cs="Times New Roman"/>
          <w:szCs w:val="21"/>
        </w:rPr>
      </w:pPr>
      <w:r>
        <w:rPr>
          <w:rFonts w:hint="eastAsia" w:ascii="黑体" w:hAnsi="黑体" w:eastAsia="黑体" w:cs="Times New Roman"/>
          <w:szCs w:val="21"/>
        </w:rPr>
        <w:t>4</w:t>
      </w:r>
      <w:r>
        <w:rPr>
          <w:rFonts w:ascii="黑体" w:hAnsi="黑体" w:eastAsia="黑体" w:cs="Times New Roman"/>
          <w:szCs w:val="21"/>
        </w:rPr>
        <w:t>附则</w:t>
      </w:r>
    </w:p>
    <w:p w14:paraId="2C7EECC9">
      <w:pPr>
        <w:spacing w:line="440" w:lineRule="exact"/>
        <w:ind w:firstLine="420" w:firstLineChars="200"/>
        <w:jc w:val="left"/>
        <w:rPr>
          <w:rFonts w:ascii="Times New Roman" w:hAnsi="Times New Roman" w:eastAsia="宋体" w:cs="Times New Roman"/>
          <w:szCs w:val="21"/>
        </w:rPr>
      </w:pPr>
      <w:r>
        <w:rPr>
          <w:szCs w:val="21"/>
        </w:rPr>
        <w:t>本细则代替</w:t>
      </w:r>
      <w:r>
        <w:rPr>
          <w:rFonts w:hint="eastAsia"/>
          <w:szCs w:val="21"/>
        </w:rPr>
        <w:t>《西藏自治区市场监督管理局关于发布&lt;产品质量监督抽查实施细则（202</w:t>
      </w:r>
      <w:r>
        <w:rPr>
          <w:rFonts w:hint="eastAsia"/>
          <w:szCs w:val="21"/>
          <w:lang w:val="en-US" w:eastAsia="zh-CN"/>
        </w:rPr>
        <w:t>4</w:t>
      </w:r>
      <w:r>
        <w:rPr>
          <w:rFonts w:hint="eastAsia"/>
          <w:szCs w:val="21"/>
        </w:rPr>
        <w:t>版）&gt;（第</w:t>
      </w:r>
      <w:r>
        <w:rPr>
          <w:rFonts w:hint="eastAsia"/>
          <w:szCs w:val="21"/>
          <w:lang w:val="en-US" w:eastAsia="zh-CN"/>
        </w:rPr>
        <w:t>二</w:t>
      </w:r>
      <w:r>
        <w:rPr>
          <w:rFonts w:hint="eastAsia"/>
          <w:szCs w:val="21"/>
        </w:rPr>
        <w:t>批）的通告》</w:t>
      </w:r>
      <w:r>
        <w:rPr>
          <w:szCs w:val="21"/>
        </w:rPr>
        <w:t>中的《</w:t>
      </w:r>
      <w:r>
        <w:rPr>
          <w:rFonts w:hint="eastAsia"/>
          <w:szCs w:val="21"/>
        </w:rPr>
        <w:t>西藏自治区贵金属饰品质量监督抽查实施细则（202</w:t>
      </w:r>
      <w:r>
        <w:rPr>
          <w:rFonts w:hint="eastAsia"/>
          <w:szCs w:val="21"/>
          <w:lang w:val="en-US" w:eastAsia="zh-CN"/>
        </w:rPr>
        <w:t>4</w:t>
      </w:r>
      <w:r>
        <w:rPr>
          <w:rFonts w:hint="eastAsia"/>
          <w:szCs w:val="21"/>
        </w:rPr>
        <w:t>年版）</w:t>
      </w:r>
      <w:r>
        <w:rPr>
          <w:szCs w:val="21"/>
        </w:rPr>
        <w:t>》。</w:t>
      </w:r>
    </w:p>
    <w:p w14:paraId="59EC4854">
      <w:pPr>
        <w:spacing w:line="440" w:lineRule="exact"/>
        <w:ind w:firstLine="420" w:firstLineChars="200"/>
      </w:pPr>
    </w:p>
    <w:sectPr>
      <w:footerReference r:id="rId3" w:type="default"/>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31E0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9C44C17">
                          <w:pPr>
                            <w:pStyle w:val="6"/>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aD3B8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RoMs8JYbbY6SR8qSpwwhLDJNDT5i5TuuWduRPP1c9/mL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ZoPcHzwEAAKoDAAAOAAAAAAAAAAEAIAAAAB4BAABkcnMv&#10;ZTJvRG9jLnhtbFBLBQYAAAAABgAGAFkBAABfBQAAAAA=&#10;">
              <v:fill on="f" focussize="0,0"/>
              <v:stroke on="f"/>
              <v:imagedata o:title=""/>
              <o:lock v:ext="edit" aspectratio="f"/>
              <v:textbox inset="0mm,0mm,0mm,0mm" style="mso-fit-shape-to-text:t;">
                <w:txbxContent>
                  <w:p w14:paraId="49C44C17">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s>
  <w:rsids>
    <w:rsidRoot w:val="006C667F"/>
    <w:rsid w:val="000177CE"/>
    <w:rsid w:val="000219BB"/>
    <w:rsid w:val="0003416E"/>
    <w:rsid w:val="000359EF"/>
    <w:rsid w:val="000576B9"/>
    <w:rsid w:val="00057A60"/>
    <w:rsid w:val="00067A8C"/>
    <w:rsid w:val="000876AF"/>
    <w:rsid w:val="001152A9"/>
    <w:rsid w:val="001216C8"/>
    <w:rsid w:val="00150053"/>
    <w:rsid w:val="0016046C"/>
    <w:rsid w:val="0017184D"/>
    <w:rsid w:val="00172E25"/>
    <w:rsid w:val="0017544A"/>
    <w:rsid w:val="002026E8"/>
    <w:rsid w:val="0021585A"/>
    <w:rsid w:val="002457DF"/>
    <w:rsid w:val="0026187E"/>
    <w:rsid w:val="00286439"/>
    <w:rsid w:val="00290329"/>
    <w:rsid w:val="002C5192"/>
    <w:rsid w:val="002D7B1B"/>
    <w:rsid w:val="003019D3"/>
    <w:rsid w:val="00301AE1"/>
    <w:rsid w:val="00336FA7"/>
    <w:rsid w:val="0037572C"/>
    <w:rsid w:val="003951C5"/>
    <w:rsid w:val="003C6D52"/>
    <w:rsid w:val="00403CD7"/>
    <w:rsid w:val="00403D15"/>
    <w:rsid w:val="004A7633"/>
    <w:rsid w:val="004D51B9"/>
    <w:rsid w:val="00514220"/>
    <w:rsid w:val="00532DA0"/>
    <w:rsid w:val="005807AC"/>
    <w:rsid w:val="006307F2"/>
    <w:rsid w:val="0063342E"/>
    <w:rsid w:val="0064142D"/>
    <w:rsid w:val="006874A5"/>
    <w:rsid w:val="00693E8C"/>
    <w:rsid w:val="006C667F"/>
    <w:rsid w:val="0070787E"/>
    <w:rsid w:val="00713C90"/>
    <w:rsid w:val="00760F9D"/>
    <w:rsid w:val="00764130"/>
    <w:rsid w:val="007675CB"/>
    <w:rsid w:val="00784F78"/>
    <w:rsid w:val="007B0DB2"/>
    <w:rsid w:val="007B5778"/>
    <w:rsid w:val="007D60FA"/>
    <w:rsid w:val="00800A1B"/>
    <w:rsid w:val="0081324C"/>
    <w:rsid w:val="00825383"/>
    <w:rsid w:val="00842DF8"/>
    <w:rsid w:val="00863B74"/>
    <w:rsid w:val="0086651A"/>
    <w:rsid w:val="008717D9"/>
    <w:rsid w:val="00873C12"/>
    <w:rsid w:val="008774F0"/>
    <w:rsid w:val="008E2764"/>
    <w:rsid w:val="008F2C3A"/>
    <w:rsid w:val="00902BB4"/>
    <w:rsid w:val="00915500"/>
    <w:rsid w:val="009160D8"/>
    <w:rsid w:val="009548A2"/>
    <w:rsid w:val="00967ADC"/>
    <w:rsid w:val="00971DF3"/>
    <w:rsid w:val="0098377A"/>
    <w:rsid w:val="009D5F60"/>
    <w:rsid w:val="00A0537E"/>
    <w:rsid w:val="00A159B0"/>
    <w:rsid w:val="00A3591B"/>
    <w:rsid w:val="00A507CA"/>
    <w:rsid w:val="00A57F09"/>
    <w:rsid w:val="00A64F8B"/>
    <w:rsid w:val="00A66DA8"/>
    <w:rsid w:val="00A75E8B"/>
    <w:rsid w:val="00A84B2E"/>
    <w:rsid w:val="00AB1A66"/>
    <w:rsid w:val="00AB25FF"/>
    <w:rsid w:val="00AD741C"/>
    <w:rsid w:val="00AF43DA"/>
    <w:rsid w:val="00B06633"/>
    <w:rsid w:val="00B22662"/>
    <w:rsid w:val="00B24305"/>
    <w:rsid w:val="00B44BEA"/>
    <w:rsid w:val="00B76F19"/>
    <w:rsid w:val="00B83555"/>
    <w:rsid w:val="00B85A3B"/>
    <w:rsid w:val="00B85FD9"/>
    <w:rsid w:val="00B87D93"/>
    <w:rsid w:val="00BB0F5E"/>
    <w:rsid w:val="00BF7069"/>
    <w:rsid w:val="00C01202"/>
    <w:rsid w:val="00C12238"/>
    <w:rsid w:val="00C41B6B"/>
    <w:rsid w:val="00C47B18"/>
    <w:rsid w:val="00C524EA"/>
    <w:rsid w:val="00CF3CAB"/>
    <w:rsid w:val="00D146C4"/>
    <w:rsid w:val="00D1795F"/>
    <w:rsid w:val="00D3589C"/>
    <w:rsid w:val="00D8192E"/>
    <w:rsid w:val="00DC4838"/>
    <w:rsid w:val="00DD6708"/>
    <w:rsid w:val="00DF51B8"/>
    <w:rsid w:val="00E11D6E"/>
    <w:rsid w:val="00E139AD"/>
    <w:rsid w:val="00E37F17"/>
    <w:rsid w:val="00EF6F59"/>
    <w:rsid w:val="00F04E18"/>
    <w:rsid w:val="00F34621"/>
    <w:rsid w:val="00F72D86"/>
    <w:rsid w:val="00F815FD"/>
    <w:rsid w:val="00F92BA6"/>
    <w:rsid w:val="00F9618E"/>
    <w:rsid w:val="00FA2C17"/>
    <w:rsid w:val="00FB334C"/>
    <w:rsid w:val="00FF40D5"/>
    <w:rsid w:val="024B6E08"/>
    <w:rsid w:val="03092820"/>
    <w:rsid w:val="03B60BF9"/>
    <w:rsid w:val="04BA0D70"/>
    <w:rsid w:val="04C42EA2"/>
    <w:rsid w:val="04D83B6A"/>
    <w:rsid w:val="055C0FAB"/>
    <w:rsid w:val="07391925"/>
    <w:rsid w:val="084B5522"/>
    <w:rsid w:val="08C01BD2"/>
    <w:rsid w:val="095579AC"/>
    <w:rsid w:val="09D35BF6"/>
    <w:rsid w:val="0A577EA6"/>
    <w:rsid w:val="0AFE344A"/>
    <w:rsid w:val="0B043FF8"/>
    <w:rsid w:val="0C2B3807"/>
    <w:rsid w:val="0C6531BD"/>
    <w:rsid w:val="0C7F12F7"/>
    <w:rsid w:val="0CCF38FF"/>
    <w:rsid w:val="0DEE56BA"/>
    <w:rsid w:val="0F811616"/>
    <w:rsid w:val="0F8676D2"/>
    <w:rsid w:val="0FAB7138"/>
    <w:rsid w:val="0FE31B58"/>
    <w:rsid w:val="1037379A"/>
    <w:rsid w:val="106E264D"/>
    <w:rsid w:val="10921990"/>
    <w:rsid w:val="113F1ADD"/>
    <w:rsid w:val="115A63CB"/>
    <w:rsid w:val="118A13C5"/>
    <w:rsid w:val="11BA57FF"/>
    <w:rsid w:val="120237D7"/>
    <w:rsid w:val="13AC4B87"/>
    <w:rsid w:val="14AA152C"/>
    <w:rsid w:val="150572EB"/>
    <w:rsid w:val="15C2502C"/>
    <w:rsid w:val="16E66CA8"/>
    <w:rsid w:val="17880B43"/>
    <w:rsid w:val="194A157C"/>
    <w:rsid w:val="1AB5530F"/>
    <w:rsid w:val="1ADE6BE3"/>
    <w:rsid w:val="1AEE7A3B"/>
    <w:rsid w:val="1B6D4F4C"/>
    <w:rsid w:val="1B834567"/>
    <w:rsid w:val="1C2F094C"/>
    <w:rsid w:val="1C98639D"/>
    <w:rsid w:val="1CA44AD6"/>
    <w:rsid w:val="1E292B0A"/>
    <w:rsid w:val="1EA41862"/>
    <w:rsid w:val="1EFF4DAB"/>
    <w:rsid w:val="1F3D3B25"/>
    <w:rsid w:val="20CC7DDB"/>
    <w:rsid w:val="21D44790"/>
    <w:rsid w:val="22413342"/>
    <w:rsid w:val="226C44AE"/>
    <w:rsid w:val="237A5348"/>
    <w:rsid w:val="23C02279"/>
    <w:rsid w:val="25796649"/>
    <w:rsid w:val="260F21BE"/>
    <w:rsid w:val="261178F6"/>
    <w:rsid w:val="26747E2C"/>
    <w:rsid w:val="293B1047"/>
    <w:rsid w:val="2A2658E2"/>
    <w:rsid w:val="2BBC776F"/>
    <w:rsid w:val="2BDD6E1D"/>
    <w:rsid w:val="2C2F516E"/>
    <w:rsid w:val="2C7F752B"/>
    <w:rsid w:val="2DC810BF"/>
    <w:rsid w:val="2DDE357F"/>
    <w:rsid w:val="2F5514A4"/>
    <w:rsid w:val="30F54F98"/>
    <w:rsid w:val="321B1AA4"/>
    <w:rsid w:val="321B766A"/>
    <w:rsid w:val="321D1044"/>
    <w:rsid w:val="32997EC6"/>
    <w:rsid w:val="32C75788"/>
    <w:rsid w:val="341B4A8C"/>
    <w:rsid w:val="35126805"/>
    <w:rsid w:val="35352E7D"/>
    <w:rsid w:val="366F0610"/>
    <w:rsid w:val="36851BE2"/>
    <w:rsid w:val="36DF1167"/>
    <w:rsid w:val="387657A5"/>
    <w:rsid w:val="3A5675FA"/>
    <w:rsid w:val="3A573895"/>
    <w:rsid w:val="3B037579"/>
    <w:rsid w:val="3B2F036E"/>
    <w:rsid w:val="3B4A51A8"/>
    <w:rsid w:val="3B501AB5"/>
    <w:rsid w:val="3C482015"/>
    <w:rsid w:val="3CF61143"/>
    <w:rsid w:val="3CF74EBC"/>
    <w:rsid w:val="3D18555E"/>
    <w:rsid w:val="3D211F38"/>
    <w:rsid w:val="3D7E1C21"/>
    <w:rsid w:val="3FC87482"/>
    <w:rsid w:val="3FFCEAFC"/>
    <w:rsid w:val="40526FD9"/>
    <w:rsid w:val="408C5260"/>
    <w:rsid w:val="40BF2194"/>
    <w:rsid w:val="418C1296"/>
    <w:rsid w:val="43BE1B82"/>
    <w:rsid w:val="43E010AB"/>
    <w:rsid w:val="452A328D"/>
    <w:rsid w:val="45CE19DE"/>
    <w:rsid w:val="47F06105"/>
    <w:rsid w:val="486A7600"/>
    <w:rsid w:val="488937B4"/>
    <w:rsid w:val="48B63E7D"/>
    <w:rsid w:val="48BF0F83"/>
    <w:rsid w:val="4A1E1CDA"/>
    <w:rsid w:val="4B097BF2"/>
    <w:rsid w:val="4E1F1EAC"/>
    <w:rsid w:val="4E600B13"/>
    <w:rsid w:val="4E9A66F0"/>
    <w:rsid w:val="4ED6366F"/>
    <w:rsid w:val="50220185"/>
    <w:rsid w:val="504F32A4"/>
    <w:rsid w:val="506A1724"/>
    <w:rsid w:val="518C7E71"/>
    <w:rsid w:val="52650DED"/>
    <w:rsid w:val="53240614"/>
    <w:rsid w:val="54696247"/>
    <w:rsid w:val="549B217C"/>
    <w:rsid w:val="54E029AD"/>
    <w:rsid w:val="55D811BD"/>
    <w:rsid w:val="57F624E8"/>
    <w:rsid w:val="58403664"/>
    <w:rsid w:val="58D04AE7"/>
    <w:rsid w:val="59741916"/>
    <w:rsid w:val="59796F2C"/>
    <w:rsid w:val="598A113A"/>
    <w:rsid w:val="5A23076E"/>
    <w:rsid w:val="5A2E7D17"/>
    <w:rsid w:val="5AE605F2"/>
    <w:rsid w:val="5B3648CE"/>
    <w:rsid w:val="5B7D11B9"/>
    <w:rsid w:val="5BDC18DD"/>
    <w:rsid w:val="5C5872CD"/>
    <w:rsid w:val="5F1A7CAB"/>
    <w:rsid w:val="5F8811E1"/>
    <w:rsid w:val="5FD05F8B"/>
    <w:rsid w:val="5FE806CF"/>
    <w:rsid w:val="60EE1FAE"/>
    <w:rsid w:val="61842912"/>
    <w:rsid w:val="62E018F9"/>
    <w:rsid w:val="63BC6A9A"/>
    <w:rsid w:val="63C818DD"/>
    <w:rsid w:val="64BE2D8D"/>
    <w:rsid w:val="64DB373E"/>
    <w:rsid w:val="650C50F9"/>
    <w:rsid w:val="66487045"/>
    <w:rsid w:val="66742F55"/>
    <w:rsid w:val="667A42E4"/>
    <w:rsid w:val="66867883"/>
    <w:rsid w:val="66B54875"/>
    <w:rsid w:val="682B1D3A"/>
    <w:rsid w:val="683531A8"/>
    <w:rsid w:val="686017C6"/>
    <w:rsid w:val="686456EB"/>
    <w:rsid w:val="69194E93"/>
    <w:rsid w:val="69B1626F"/>
    <w:rsid w:val="6A5B76B4"/>
    <w:rsid w:val="6A9E5F94"/>
    <w:rsid w:val="6B4D2A2F"/>
    <w:rsid w:val="6C6173EE"/>
    <w:rsid w:val="6CA721E1"/>
    <w:rsid w:val="6CE87DC7"/>
    <w:rsid w:val="6D4274C8"/>
    <w:rsid w:val="6D445FFE"/>
    <w:rsid w:val="6EBA3E17"/>
    <w:rsid w:val="6EF07839"/>
    <w:rsid w:val="6F40431D"/>
    <w:rsid w:val="6F413BF1"/>
    <w:rsid w:val="6FFB6CBD"/>
    <w:rsid w:val="6FFF6071"/>
    <w:rsid w:val="70205EFC"/>
    <w:rsid w:val="708A2EF1"/>
    <w:rsid w:val="70CF59C3"/>
    <w:rsid w:val="722515E1"/>
    <w:rsid w:val="72B27B5F"/>
    <w:rsid w:val="735C549D"/>
    <w:rsid w:val="737E4439"/>
    <w:rsid w:val="73B92623"/>
    <w:rsid w:val="7426429A"/>
    <w:rsid w:val="74822296"/>
    <w:rsid w:val="749B7A5D"/>
    <w:rsid w:val="74BD1F6B"/>
    <w:rsid w:val="74F52B80"/>
    <w:rsid w:val="75014A1B"/>
    <w:rsid w:val="751E0231"/>
    <w:rsid w:val="75D05CCE"/>
    <w:rsid w:val="76F140CA"/>
    <w:rsid w:val="772462D2"/>
    <w:rsid w:val="77D200E8"/>
    <w:rsid w:val="782C0A12"/>
    <w:rsid w:val="788A03B6"/>
    <w:rsid w:val="79142376"/>
    <w:rsid w:val="79EE8C5A"/>
    <w:rsid w:val="7BA63759"/>
    <w:rsid w:val="7BEBB8E4"/>
    <w:rsid w:val="7D734D87"/>
    <w:rsid w:val="7DC51E91"/>
    <w:rsid w:val="7E1A042F"/>
    <w:rsid w:val="7E2C35D6"/>
    <w:rsid w:val="7E9C4954"/>
    <w:rsid w:val="7EE30820"/>
    <w:rsid w:val="7F2C21C7"/>
    <w:rsid w:val="7F300569"/>
    <w:rsid w:val="7F6F8FC6"/>
    <w:rsid w:val="7FB30578"/>
    <w:rsid w:val="7FC93EBA"/>
    <w:rsid w:val="BA5DA70D"/>
    <w:rsid w:val="BAF9DEDB"/>
    <w:rsid w:val="DEFF1E7F"/>
    <w:rsid w:val="E6BF6D19"/>
    <w:rsid w:val="EDF7C2EB"/>
    <w:rsid w:val="FFFE6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rPr>
      <w:rFonts w:ascii="Times New Roman" w:hAnsi="Times New Roman" w:eastAsia="仿宋"/>
    </w:rPr>
  </w:style>
  <w:style w:type="paragraph" w:styleId="3">
    <w:name w:val="annotation text"/>
    <w:basedOn w:val="1"/>
    <w:link w:val="13"/>
    <w:qFormat/>
    <w:uiPriority w:val="0"/>
    <w:pPr>
      <w:jc w:val="left"/>
    </w:pPr>
  </w:style>
  <w:style w:type="paragraph" w:styleId="4">
    <w:name w:val="Plain Text"/>
    <w:basedOn w:val="1"/>
    <w:autoRedefine/>
    <w:unhideWhenUsed/>
    <w:qFormat/>
    <w:uiPriority w:val="99"/>
    <w:rPr>
      <w:rFonts w:ascii="宋体" w:hAnsi="Courier New" w:eastAsia="宋体" w:cs="Times New Roman"/>
      <w:kern w:val="0"/>
      <w:sz w:val="20"/>
      <w:szCs w:val="20"/>
    </w:rPr>
  </w:style>
  <w:style w:type="paragraph" w:styleId="5">
    <w:name w:val="Balloon Text"/>
    <w:basedOn w:val="1"/>
    <w:link w:val="15"/>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4"/>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qFormat/>
    <w:uiPriority w:val="0"/>
    <w:rPr>
      <w:sz w:val="21"/>
      <w:szCs w:val="21"/>
    </w:rPr>
  </w:style>
  <w:style w:type="character" w:customStyle="1" w:styleId="13">
    <w:name w:val="批注文字 Char"/>
    <w:basedOn w:val="11"/>
    <w:link w:val="3"/>
    <w:autoRedefine/>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autoRedefine/>
    <w:qFormat/>
    <w:uiPriority w:val="0"/>
    <w:rPr>
      <w:rFonts w:asciiTheme="minorHAnsi" w:hAnsiTheme="minorHAnsi" w:eastAsiaTheme="minorEastAsia" w:cstheme="minorBidi"/>
      <w:b/>
      <w:bCs/>
      <w:kern w:val="2"/>
      <w:sz w:val="21"/>
      <w:szCs w:val="24"/>
    </w:rPr>
  </w:style>
  <w:style w:type="character" w:customStyle="1" w:styleId="15">
    <w:name w:val="批注框文本 Char"/>
    <w:basedOn w:val="11"/>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842</Words>
  <Characters>993</Characters>
  <Lines>8</Lines>
  <Paragraphs>2</Paragraphs>
  <TotalTime>16</TotalTime>
  <ScaleCrop>false</ScaleCrop>
  <LinksUpToDate>false</LinksUpToDate>
  <CharactersWithSpaces>1009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曲颖白姆</cp:lastModifiedBy>
  <cp:lastPrinted>2023-03-16T15:53:00Z</cp:lastPrinted>
  <dcterms:modified xsi:type="dcterms:W3CDTF">2025-04-28T09:23:20Z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5C736075B7764400975642CC2EC18319_13</vt:lpwstr>
  </property>
  <property fmtid="{D5CDD505-2E9C-101B-9397-08002B2CF9AE}" pid="4" name="KSOTemplateDocerSaveRecord">
    <vt:lpwstr>eyJoZGlkIjoiZjNjODg4ZmYzNTc2MzhiNDg2Y2E5ZWMzMjc3NjE2NmUiLCJ1c2VySWQiOiI0NTU2NDk2ODEifQ==</vt:lpwstr>
  </property>
</Properties>
</file>