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DFADA">
      <w:pPr>
        <w:spacing w:line="440" w:lineRule="exact"/>
        <w:jc w:val="center"/>
        <w:rPr>
          <w:rFonts w:ascii="黑体" w:hAnsi="黑体" w:eastAsia="黑体" w:cs="Times New Roman"/>
          <w:sz w:val="32"/>
          <w:szCs w:val="32"/>
        </w:rPr>
      </w:pPr>
      <w:r>
        <w:rPr>
          <w:rFonts w:ascii="黑体" w:hAnsi="黑体" w:eastAsia="黑体" w:cs="Times New Roman"/>
          <w:sz w:val="32"/>
          <w:szCs w:val="32"/>
        </w:rPr>
        <w:t>西藏自治区</w:t>
      </w:r>
      <w:r>
        <w:rPr>
          <w:rFonts w:hint="eastAsia" w:ascii="黑体" w:hAnsi="黑体" w:eastAsia="黑体" w:cs="Times New Roman"/>
          <w:sz w:val="32"/>
          <w:szCs w:val="32"/>
        </w:rPr>
        <w:t>眼镜</w:t>
      </w:r>
      <w:r>
        <w:rPr>
          <w:rFonts w:ascii="黑体" w:hAnsi="黑体" w:eastAsia="黑体" w:cs="Times New Roman"/>
          <w:sz w:val="32"/>
          <w:szCs w:val="32"/>
        </w:rPr>
        <w:t>产品质量监督抽查实施细则</w:t>
      </w:r>
    </w:p>
    <w:p w14:paraId="5E4DA830">
      <w:pPr>
        <w:spacing w:line="440" w:lineRule="exact"/>
        <w:jc w:val="center"/>
        <w:rPr>
          <w:rFonts w:ascii="黑体" w:hAnsi="黑体" w:eastAsia="黑体" w:cs="Times New Roman"/>
          <w:color w:val="000000"/>
          <w:sz w:val="32"/>
          <w:szCs w:val="32"/>
        </w:rPr>
      </w:pPr>
      <w:r>
        <w:rPr>
          <w:rFonts w:ascii="黑体" w:hAnsi="黑体" w:eastAsia="黑体" w:cs="Times New Roman"/>
          <w:color w:val="000000"/>
          <w:sz w:val="32"/>
          <w:szCs w:val="32"/>
        </w:rPr>
        <w:t>（202</w:t>
      </w:r>
      <w:r>
        <w:rPr>
          <w:rFonts w:hint="eastAsia" w:ascii="黑体" w:hAnsi="黑体" w:eastAsia="黑体" w:cs="Times New Roman"/>
          <w:color w:val="000000"/>
          <w:sz w:val="32"/>
          <w:szCs w:val="32"/>
          <w:lang w:val="en-US" w:eastAsia="zh-CN"/>
        </w:rPr>
        <w:t>5</w:t>
      </w:r>
      <w:r>
        <w:rPr>
          <w:rFonts w:ascii="黑体" w:hAnsi="黑体" w:eastAsia="黑体" w:cs="Times New Roman"/>
          <w:color w:val="000000"/>
          <w:sz w:val="32"/>
          <w:szCs w:val="32"/>
        </w:rPr>
        <w:t>年版）</w:t>
      </w:r>
    </w:p>
    <w:p w14:paraId="7CAA25BE">
      <w:pPr>
        <w:pStyle w:val="2"/>
        <w:spacing w:line="440" w:lineRule="exact"/>
        <w:rPr>
          <w:rFonts w:ascii="Times New Roman" w:hAnsi="Times New Roman"/>
          <w:sz w:val="21"/>
          <w:szCs w:val="21"/>
        </w:rPr>
      </w:pPr>
    </w:p>
    <w:p w14:paraId="7C861D94">
      <w:pPr>
        <w:spacing w:line="440" w:lineRule="exact"/>
        <w:rPr>
          <w:rFonts w:ascii="黑体" w:hAnsi="黑体" w:eastAsia="黑体" w:cs="Times New Roman"/>
          <w:szCs w:val="21"/>
        </w:rPr>
      </w:pPr>
      <w:r>
        <w:rPr>
          <w:rFonts w:ascii="黑体" w:hAnsi="黑体" w:eastAsia="黑体" w:cs="Times New Roman"/>
          <w:szCs w:val="21"/>
        </w:rPr>
        <w:t xml:space="preserve">1 </w:t>
      </w:r>
      <w:r>
        <w:rPr>
          <w:rFonts w:hint="eastAsia" w:ascii="黑体" w:hAnsi="黑体" w:eastAsia="黑体" w:cs="Times New Roman"/>
          <w:szCs w:val="21"/>
        </w:rPr>
        <w:t>抽样方法</w:t>
      </w:r>
    </w:p>
    <w:p w14:paraId="1EC5D22C">
      <w:pPr>
        <w:spacing w:line="440" w:lineRule="exact"/>
        <w:ind w:firstLine="420" w:firstLineChars="200"/>
        <w:rPr>
          <w:rFonts w:cs="Times New Roman" w:asciiTheme="minorEastAsia" w:hAnsiTheme="minorEastAsia" w:eastAsiaTheme="minorEastAsia"/>
          <w:szCs w:val="21"/>
        </w:rPr>
      </w:pPr>
      <w:r>
        <w:rPr>
          <w:rFonts w:cs="Times New Roman" w:asciiTheme="minorEastAsia" w:hAnsiTheme="minorEastAsia" w:eastAsiaTheme="minorEastAsia"/>
          <w:szCs w:val="21"/>
        </w:rPr>
        <w:t>以随机抽样的方式在被抽样生产者、销售者的待销产品中抽取。</w:t>
      </w:r>
    </w:p>
    <w:p w14:paraId="30417E72">
      <w:pPr>
        <w:spacing w:line="440" w:lineRule="exact"/>
        <w:ind w:firstLine="420" w:firstLineChars="200"/>
        <w:rPr>
          <w:rFonts w:hint="eastAsia" w:asciiTheme="minorEastAsia" w:hAnsiTheme="minorEastAsia"/>
          <w:szCs w:val="21"/>
        </w:rPr>
      </w:pPr>
      <w:r>
        <w:rPr>
          <w:rFonts w:hint="eastAsia" w:asciiTheme="minorEastAsia" w:hAnsiTheme="minorEastAsia"/>
          <w:szCs w:val="21"/>
        </w:rPr>
        <w:t>随机数一般可使用随机数表、骰子或扑克牌等方法产生。</w:t>
      </w:r>
    </w:p>
    <w:p w14:paraId="4DD6A0F4">
      <w:pPr>
        <w:adjustRightInd w:val="0"/>
        <w:snapToGrid w:val="0"/>
        <w:spacing w:line="440" w:lineRule="exact"/>
        <w:ind w:firstLine="420" w:firstLineChars="200"/>
        <w:rPr>
          <w:rFonts w:cs="Times New Roman" w:asciiTheme="minorEastAsia" w:hAnsiTheme="minorEastAsia" w:eastAsiaTheme="minorEastAsia"/>
          <w:szCs w:val="21"/>
        </w:rPr>
      </w:pPr>
      <w:r>
        <w:rPr>
          <w:rFonts w:cs="Times New Roman" w:asciiTheme="minorEastAsia" w:hAnsiTheme="minorEastAsia" w:eastAsiaTheme="minorEastAsia"/>
          <w:szCs w:val="21"/>
        </w:rPr>
        <w:t>抽样基数满足抽样数量即可。</w:t>
      </w:r>
    </w:p>
    <w:p w14:paraId="61B43455">
      <w:pPr>
        <w:adjustRightInd w:val="0"/>
        <w:snapToGrid w:val="0"/>
        <w:spacing w:line="440" w:lineRule="exact"/>
        <w:ind w:firstLine="420" w:firstLineChars="200"/>
        <w:rPr>
          <w:rFonts w:hint="eastAsia"/>
          <w:szCs w:val="21"/>
        </w:rPr>
      </w:pPr>
      <w:r>
        <w:rPr>
          <w:rFonts w:asciiTheme="minorEastAsia" w:hAnsiTheme="minorEastAsia"/>
          <w:szCs w:val="21"/>
        </w:rPr>
        <w:t>每批次抽样数量见表1。</w:t>
      </w:r>
    </w:p>
    <w:p w14:paraId="1417A1F7">
      <w:pPr>
        <w:adjustRightInd w:val="0"/>
        <w:snapToGrid w:val="0"/>
        <w:ind w:firstLine="420" w:firstLineChars="200"/>
        <w:jc w:val="center"/>
        <w:rPr>
          <w:rFonts w:asciiTheme="minorEastAsia" w:hAnsiTheme="minorEastAsia"/>
          <w:szCs w:val="21"/>
        </w:rPr>
      </w:pPr>
      <w:r>
        <w:rPr>
          <w:rFonts w:asciiTheme="minorEastAsia" w:hAnsiTheme="minorEastAsia"/>
          <w:szCs w:val="21"/>
        </w:rPr>
        <w:t>表1 抽取样品数量</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1706"/>
        <w:gridCol w:w="1729"/>
        <w:gridCol w:w="2059"/>
        <w:gridCol w:w="1908"/>
      </w:tblGrid>
      <w:tr w14:paraId="4B8BB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0" w:type="dxa"/>
            <w:vAlign w:val="center"/>
          </w:tcPr>
          <w:p w14:paraId="5B3A8217">
            <w:pPr>
              <w:adjustRightInd w:val="0"/>
              <w:snapToGrid w:val="0"/>
              <w:spacing w:line="440" w:lineRule="exact"/>
              <w:jc w:val="center"/>
              <w:rPr>
                <w:szCs w:val="21"/>
                <w:vertAlign w:val="baseline"/>
              </w:rPr>
            </w:pPr>
            <w:r>
              <w:rPr>
                <w:rFonts w:hint="eastAsia" w:asciiTheme="minorEastAsia" w:hAnsiTheme="minorEastAsia"/>
                <w:bCs/>
                <w:szCs w:val="21"/>
              </w:rPr>
              <w:t>序号</w:t>
            </w:r>
          </w:p>
        </w:tc>
        <w:tc>
          <w:tcPr>
            <w:tcW w:w="1706" w:type="dxa"/>
            <w:vAlign w:val="center"/>
          </w:tcPr>
          <w:p w14:paraId="2C28C99D">
            <w:pPr>
              <w:adjustRightInd w:val="0"/>
              <w:snapToGrid w:val="0"/>
              <w:spacing w:line="440" w:lineRule="exact"/>
              <w:jc w:val="center"/>
              <w:rPr>
                <w:szCs w:val="21"/>
                <w:vertAlign w:val="baseline"/>
              </w:rPr>
            </w:pPr>
            <w:r>
              <w:rPr>
                <w:rFonts w:asciiTheme="minorEastAsia" w:hAnsiTheme="minorEastAsia"/>
                <w:bCs/>
                <w:szCs w:val="21"/>
              </w:rPr>
              <w:t>产品种类</w:t>
            </w:r>
          </w:p>
        </w:tc>
        <w:tc>
          <w:tcPr>
            <w:tcW w:w="1729" w:type="dxa"/>
            <w:vAlign w:val="center"/>
          </w:tcPr>
          <w:p w14:paraId="1F91AE0D">
            <w:pPr>
              <w:adjustRightInd w:val="0"/>
              <w:snapToGrid w:val="0"/>
              <w:spacing w:line="440" w:lineRule="exact"/>
              <w:jc w:val="center"/>
              <w:rPr>
                <w:szCs w:val="21"/>
                <w:vertAlign w:val="baseline"/>
              </w:rPr>
            </w:pPr>
            <w:r>
              <w:rPr>
                <w:rFonts w:asciiTheme="minorEastAsia" w:hAnsiTheme="minorEastAsia"/>
                <w:bCs/>
                <w:szCs w:val="21"/>
              </w:rPr>
              <w:t>抽样数量（</w:t>
            </w:r>
            <w:r>
              <w:rPr>
                <w:rFonts w:hint="eastAsia" w:cs="Times New Roman" w:asciiTheme="minorEastAsia" w:hAnsiTheme="minorEastAsia" w:eastAsiaTheme="minorEastAsia"/>
                <w:szCs w:val="21"/>
              </w:rPr>
              <w:t>副</w:t>
            </w:r>
            <w:r>
              <w:rPr>
                <w:rFonts w:asciiTheme="minorEastAsia" w:hAnsiTheme="minorEastAsia"/>
                <w:szCs w:val="21"/>
              </w:rPr>
              <w:t>）</w:t>
            </w:r>
          </w:p>
        </w:tc>
        <w:tc>
          <w:tcPr>
            <w:tcW w:w="2059" w:type="dxa"/>
            <w:vAlign w:val="center"/>
          </w:tcPr>
          <w:p w14:paraId="28BA9BDA">
            <w:pPr>
              <w:adjustRightInd w:val="0"/>
              <w:snapToGrid w:val="0"/>
              <w:spacing w:line="440" w:lineRule="exact"/>
              <w:jc w:val="center"/>
              <w:rPr>
                <w:szCs w:val="21"/>
                <w:vertAlign w:val="baseline"/>
              </w:rPr>
            </w:pPr>
            <w:r>
              <w:rPr>
                <w:rFonts w:asciiTheme="minorEastAsia" w:hAnsiTheme="minorEastAsia"/>
                <w:szCs w:val="21"/>
              </w:rPr>
              <w:t>检验样品数量</w:t>
            </w:r>
            <w:r>
              <w:rPr>
                <w:rFonts w:asciiTheme="minorEastAsia" w:hAnsiTheme="minorEastAsia"/>
                <w:bCs/>
                <w:szCs w:val="21"/>
              </w:rPr>
              <w:t>（</w:t>
            </w:r>
            <w:r>
              <w:rPr>
                <w:rFonts w:hint="eastAsia" w:cs="Times New Roman" w:asciiTheme="minorEastAsia" w:hAnsiTheme="minorEastAsia" w:eastAsiaTheme="minorEastAsia"/>
                <w:szCs w:val="21"/>
              </w:rPr>
              <w:t>副</w:t>
            </w:r>
            <w:r>
              <w:rPr>
                <w:rFonts w:asciiTheme="minorEastAsia" w:hAnsiTheme="minorEastAsia"/>
                <w:szCs w:val="21"/>
              </w:rPr>
              <w:t>）</w:t>
            </w:r>
          </w:p>
        </w:tc>
        <w:tc>
          <w:tcPr>
            <w:tcW w:w="1908" w:type="dxa"/>
            <w:vAlign w:val="center"/>
          </w:tcPr>
          <w:p w14:paraId="157408F6">
            <w:pPr>
              <w:adjustRightInd w:val="0"/>
              <w:snapToGrid w:val="0"/>
              <w:spacing w:line="440" w:lineRule="exact"/>
              <w:jc w:val="center"/>
              <w:rPr>
                <w:szCs w:val="21"/>
                <w:vertAlign w:val="baseline"/>
              </w:rPr>
            </w:pPr>
            <w:r>
              <w:rPr>
                <w:rFonts w:asciiTheme="minorEastAsia" w:hAnsiTheme="minorEastAsia"/>
                <w:szCs w:val="21"/>
              </w:rPr>
              <w:t>备用样品数量</w:t>
            </w:r>
            <w:r>
              <w:rPr>
                <w:rFonts w:asciiTheme="minorEastAsia" w:hAnsiTheme="minorEastAsia"/>
                <w:bCs/>
                <w:szCs w:val="21"/>
              </w:rPr>
              <w:t>（</w:t>
            </w:r>
            <w:r>
              <w:rPr>
                <w:rFonts w:hint="eastAsia" w:cs="Times New Roman" w:asciiTheme="minorEastAsia" w:hAnsiTheme="minorEastAsia" w:eastAsiaTheme="minorEastAsia"/>
                <w:szCs w:val="21"/>
              </w:rPr>
              <w:t>副</w:t>
            </w:r>
            <w:r>
              <w:rPr>
                <w:rFonts w:asciiTheme="minorEastAsia" w:hAnsiTheme="minorEastAsia"/>
                <w:szCs w:val="21"/>
              </w:rPr>
              <w:t>）</w:t>
            </w:r>
          </w:p>
        </w:tc>
      </w:tr>
      <w:tr w14:paraId="36D11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0" w:type="dxa"/>
            <w:vAlign w:val="center"/>
          </w:tcPr>
          <w:p w14:paraId="7C92D51A">
            <w:pPr>
              <w:adjustRightInd w:val="0"/>
              <w:snapToGrid w:val="0"/>
              <w:jc w:val="center"/>
              <w:rPr>
                <w:szCs w:val="21"/>
                <w:vertAlign w:val="baseline"/>
              </w:rPr>
            </w:pPr>
            <w:r>
              <w:rPr>
                <w:rFonts w:hint="eastAsia" w:cs="Times New Roman" w:asciiTheme="minorEastAsia" w:hAnsiTheme="minorEastAsia" w:eastAsiaTheme="minorEastAsia"/>
                <w:szCs w:val="21"/>
              </w:rPr>
              <w:t>1</w:t>
            </w:r>
          </w:p>
        </w:tc>
        <w:tc>
          <w:tcPr>
            <w:tcW w:w="1706" w:type="dxa"/>
            <w:vAlign w:val="center"/>
          </w:tcPr>
          <w:p w14:paraId="106F395B">
            <w:pPr>
              <w:adjustRightInd w:val="0"/>
              <w:snapToGrid w:val="0"/>
              <w:jc w:val="center"/>
              <w:rPr>
                <w:szCs w:val="21"/>
                <w:vertAlign w:val="baseline"/>
              </w:rPr>
            </w:pPr>
            <w:r>
              <w:rPr>
                <w:rFonts w:hint="eastAsia" w:cs="Times New Roman" w:asciiTheme="minorEastAsia" w:hAnsiTheme="minorEastAsia"/>
                <w:szCs w:val="21"/>
                <w:lang w:val="en-US" w:eastAsia="zh-CN"/>
              </w:rPr>
              <w:t>验配</w:t>
            </w:r>
            <w:r>
              <w:rPr>
                <w:rFonts w:cs="Times New Roman" w:asciiTheme="minorEastAsia" w:hAnsiTheme="minorEastAsia" w:eastAsiaTheme="minorEastAsia"/>
                <w:szCs w:val="21"/>
              </w:rPr>
              <w:t>眼镜</w:t>
            </w:r>
          </w:p>
        </w:tc>
        <w:tc>
          <w:tcPr>
            <w:tcW w:w="1729" w:type="dxa"/>
            <w:vAlign w:val="center"/>
          </w:tcPr>
          <w:p w14:paraId="686E41C1">
            <w:pPr>
              <w:adjustRightInd w:val="0"/>
              <w:snapToGrid w:val="0"/>
              <w:jc w:val="center"/>
              <w:rPr>
                <w:szCs w:val="21"/>
                <w:vertAlign w:val="baseline"/>
              </w:rPr>
            </w:pPr>
            <w:r>
              <w:rPr>
                <w:rFonts w:hint="eastAsia" w:asciiTheme="minorEastAsia" w:hAnsiTheme="minorEastAsia"/>
                <w:szCs w:val="21"/>
              </w:rPr>
              <w:t>1</w:t>
            </w:r>
          </w:p>
        </w:tc>
        <w:tc>
          <w:tcPr>
            <w:tcW w:w="2059" w:type="dxa"/>
            <w:vAlign w:val="center"/>
          </w:tcPr>
          <w:p w14:paraId="64B33AB6">
            <w:pPr>
              <w:adjustRightInd w:val="0"/>
              <w:snapToGrid w:val="0"/>
              <w:jc w:val="center"/>
              <w:rPr>
                <w:szCs w:val="21"/>
                <w:vertAlign w:val="baseline"/>
              </w:rPr>
            </w:pPr>
            <w:r>
              <w:rPr>
                <w:rFonts w:hint="eastAsia" w:asciiTheme="minorEastAsia" w:hAnsiTheme="minorEastAsia"/>
                <w:szCs w:val="21"/>
              </w:rPr>
              <w:t>1</w:t>
            </w:r>
          </w:p>
        </w:tc>
        <w:tc>
          <w:tcPr>
            <w:tcW w:w="1908" w:type="dxa"/>
            <w:vAlign w:val="center"/>
          </w:tcPr>
          <w:p w14:paraId="294B6A94">
            <w:pPr>
              <w:adjustRightInd w:val="0"/>
              <w:snapToGrid w:val="0"/>
              <w:jc w:val="center"/>
              <w:rPr>
                <w:szCs w:val="21"/>
                <w:vertAlign w:val="baseline"/>
              </w:rPr>
            </w:pPr>
            <w:r>
              <w:rPr>
                <w:rFonts w:hint="eastAsia" w:asciiTheme="minorEastAsia" w:hAnsiTheme="minorEastAsia"/>
                <w:szCs w:val="21"/>
              </w:rPr>
              <w:t>——</w:t>
            </w:r>
          </w:p>
        </w:tc>
      </w:tr>
      <w:tr w14:paraId="53553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0" w:type="dxa"/>
            <w:vAlign w:val="center"/>
          </w:tcPr>
          <w:p w14:paraId="64EA2BC0">
            <w:pPr>
              <w:adjustRightInd w:val="0"/>
              <w:snapToGrid w:val="0"/>
              <w:jc w:val="center"/>
              <w:rPr>
                <w:szCs w:val="21"/>
                <w:vertAlign w:val="baseline"/>
              </w:rPr>
            </w:pPr>
            <w:r>
              <w:rPr>
                <w:rFonts w:hint="eastAsia" w:cs="Times New Roman" w:asciiTheme="minorEastAsia" w:hAnsiTheme="minorEastAsia" w:eastAsiaTheme="minorEastAsia"/>
                <w:szCs w:val="21"/>
              </w:rPr>
              <w:t>2</w:t>
            </w:r>
          </w:p>
        </w:tc>
        <w:tc>
          <w:tcPr>
            <w:tcW w:w="1706" w:type="dxa"/>
            <w:vAlign w:val="center"/>
          </w:tcPr>
          <w:p w14:paraId="61508888">
            <w:pPr>
              <w:adjustRightInd w:val="0"/>
              <w:snapToGrid w:val="0"/>
              <w:jc w:val="center"/>
              <w:rPr>
                <w:szCs w:val="21"/>
                <w:vertAlign w:val="baseline"/>
              </w:rPr>
            </w:pPr>
            <w:r>
              <w:rPr>
                <w:rFonts w:cs="Times New Roman" w:asciiTheme="minorEastAsia" w:hAnsiTheme="minorEastAsia" w:eastAsiaTheme="minorEastAsia"/>
                <w:szCs w:val="21"/>
              </w:rPr>
              <w:t>老视成镜</w:t>
            </w:r>
          </w:p>
        </w:tc>
        <w:tc>
          <w:tcPr>
            <w:tcW w:w="1729" w:type="dxa"/>
            <w:vAlign w:val="center"/>
          </w:tcPr>
          <w:p w14:paraId="50BF48A6">
            <w:pPr>
              <w:adjustRightInd w:val="0"/>
              <w:snapToGrid w:val="0"/>
              <w:jc w:val="center"/>
              <w:rPr>
                <w:rFonts w:hint="eastAsia" w:eastAsiaTheme="minorEastAsia"/>
                <w:color w:val="auto"/>
                <w:szCs w:val="21"/>
                <w:vertAlign w:val="baseline"/>
                <w:lang w:eastAsia="zh-CN"/>
              </w:rPr>
            </w:pPr>
            <w:r>
              <w:rPr>
                <w:rFonts w:hint="eastAsia" w:asciiTheme="minorEastAsia" w:hAnsiTheme="minorEastAsia"/>
                <w:color w:val="auto"/>
                <w:szCs w:val="21"/>
                <w:lang w:val="en-US" w:eastAsia="zh-CN"/>
              </w:rPr>
              <w:t>2</w:t>
            </w:r>
          </w:p>
        </w:tc>
        <w:tc>
          <w:tcPr>
            <w:tcW w:w="2059" w:type="dxa"/>
            <w:vAlign w:val="center"/>
          </w:tcPr>
          <w:p w14:paraId="776BB62D">
            <w:pPr>
              <w:adjustRightInd w:val="0"/>
              <w:snapToGrid w:val="0"/>
              <w:jc w:val="center"/>
              <w:rPr>
                <w:rFonts w:hint="eastAsia" w:eastAsiaTheme="minorEastAsia"/>
                <w:color w:val="auto"/>
                <w:szCs w:val="21"/>
                <w:vertAlign w:val="baseline"/>
                <w:lang w:eastAsia="zh-CN"/>
              </w:rPr>
            </w:pPr>
            <w:r>
              <w:rPr>
                <w:rFonts w:hint="eastAsia" w:asciiTheme="minorEastAsia" w:hAnsiTheme="minorEastAsia"/>
                <w:color w:val="auto"/>
                <w:szCs w:val="21"/>
                <w:lang w:val="en-US" w:eastAsia="zh-CN"/>
              </w:rPr>
              <w:t>1</w:t>
            </w:r>
          </w:p>
        </w:tc>
        <w:tc>
          <w:tcPr>
            <w:tcW w:w="1908" w:type="dxa"/>
            <w:vAlign w:val="center"/>
          </w:tcPr>
          <w:p w14:paraId="3325CBF1">
            <w:pPr>
              <w:adjustRightInd w:val="0"/>
              <w:snapToGrid w:val="0"/>
              <w:jc w:val="center"/>
              <w:rPr>
                <w:rFonts w:hint="eastAsia" w:eastAsiaTheme="minorEastAsia"/>
                <w:color w:val="auto"/>
                <w:szCs w:val="21"/>
                <w:vertAlign w:val="baseline"/>
                <w:lang w:eastAsia="zh-CN"/>
              </w:rPr>
            </w:pPr>
            <w:r>
              <w:rPr>
                <w:rFonts w:hint="eastAsia" w:asciiTheme="minorEastAsia" w:hAnsiTheme="minorEastAsia"/>
                <w:color w:val="auto"/>
                <w:szCs w:val="21"/>
                <w:lang w:val="en-US" w:eastAsia="zh-CN"/>
              </w:rPr>
              <w:t>1</w:t>
            </w:r>
          </w:p>
        </w:tc>
      </w:tr>
    </w:tbl>
    <w:p w14:paraId="6FB0B269">
      <w:pPr>
        <w:spacing w:line="440" w:lineRule="exact"/>
        <w:rPr>
          <w:rFonts w:ascii="黑体" w:hAnsi="黑体" w:eastAsia="黑体" w:cs="Times New Roman"/>
          <w:szCs w:val="21"/>
        </w:rPr>
      </w:pPr>
      <w:r>
        <w:rPr>
          <w:rFonts w:ascii="黑体" w:hAnsi="黑体" w:eastAsia="黑体" w:cs="Times New Roman"/>
          <w:szCs w:val="21"/>
        </w:rPr>
        <w:t xml:space="preserve">2 </w:t>
      </w:r>
      <w:r>
        <w:rPr>
          <w:rFonts w:hint="eastAsia" w:ascii="黑体" w:hAnsi="黑体" w:eastAsia="黑体" w:cs="Times New Roman"/>
          <w:szCs w:val="21"/>
        </w:rPr>
        <w:t>检验依据</w:t>
      </w:r>
    </w:p>
    <w:p w14:paraId="4CF5F033">
      <w:pPr>
        <w:pStyle w:val="2"/>
      </w:pPr>
    </w:p>
    <w:p w14:paraId="6DDBE2F4">
      <w:pPr>
        <w:adjustRightInd w:val="0"/>
        <w:snapToGrid w:val="0"/>
        <w:ind w:firstLine="420" w:firstLineChars="200"/>
        <w:jc w:val="center"/>
        <w:rPr>
          <w:rFonts w:cs="Times New Roman" w:asciiTheme="minorEastAsia" w:hAnsiTheme="minorEastAsia" w:eastAsiaTheme="minorEastAsia"/>
          <w:szCs w:val="21"/>
        </w:rPr>
      </w:pPr>
      <w:r>
        <w:rPr>
          <w:rFonts w:asciiTheme="minorEastAsia" w:hAnsiTheme="minorEastAsia"/>
          <w:szCs w:val="21"/>
        </w:rPr>
        <w:t xml:space="preserve">表2 </w:t>
      </w:r>
      <w:r>
        <w:rPr>
          <w:rFonts w:hint="eastAsia" w:cs="Times New Roman" w:asciiTheme="minorEastAsia" w:hAnsiTheme="minorEastAsia"/>
          <w:szCs w:val="21"/>
          <w:lang w:val="en-US" w:eastAsia="zh-CN"/>
        </w:rPr>
        <w:t>验配</w:t>
      </w:r>
      <w:bookmarkStart w:id="2" w:name="_GoBack"/>
      <w:bookmarkEnd w:id="2"/>
      <w:r>
        <w:rPr>
          <w:rFonts w:hint="eastAsia" w:cs="Times New Roman" w:asciiTheme="minorEastAsia" w:hAnsiTheme="minorEastAsia" w:eastAsiaTheme="minorEastAsia"/>
          <w:szCs w:val="21"/>
        </w:rPr>
        <w:t>眼镜</w:t>
      </w:r>
    </w:p>
    <w:tbl>
      <w:tblPr>
        <w:tblStyle w:val="10"/>
        <w:tblW w:w="8480" w:type="dxa"/>
        <w:jc w:val="center"/>
        <w:tblLayout w:type="fixed"/>
        <w:tblCellMar>
          <w:top w:w="0" w:type="dxa"/>
          <w:left w:w="108" w:type="dxa"/>
          <w:bottom w:w="0" w:type="dxa"/>
          <w:right w:w="108" w:type="dxa"/>
        </w:tblCellMar>
      </w:tblPr>
      <w:tblGrid>
        <w:gridCol w:w="1163"/>
        <w:gridCol w:w="3871"/>
        <w:gridCol w:w="3446"/>
      </w:tblGrid>
      <w:tr w14:paraId="6F3A111B">
        <w:tblPrEx>
          <w:tblCellMar>
            <w:top w:w="0" w:type="dxa"/>
            <w:left w:w="108" w:type="dxa"/>
            <w:bottom w:w="0" w:type="dxa"/>
            <w:right w:w="108" w:type="dxa"/>
          </w:tblCellMar>
        </w:tblPrEx>
        <w:trPr>
          <w:trHeight w:val="567" w:hRule="atLeast"/>
          <w:tblHeader/>
          <w:jc w:val="center"/>
        </w:trPr>
        <w:tc>
          <w:tcPr>
            <w:tcW w:w="1163" w:type="dxa"/>
            <w:tcBorders>
              <w:top w:val="single" w:color="auto" w:sz="4" w:space="0"/>
              <w:left w:val="single" w:color="auto" w:sz="4" w:space="0"/>
              <w:bottom w:val="single" w:color="auto" w:sz="4" w:space="0"/>
              <w:right w:val="single" w:color="auto" w:sz="4" w:space="0"/>
            </w:tcBorders>
            <w:vAlign w:val="center"/>
          </w:tcPr>
          <w:p w14:paraId="74701DF2">
            <w:pPr>
              <w:spacing w:line="240" w:lineRule="auto"/>
              <w:jc w:val="center"/>
              <w:rPr>
                <w:rFonts w:cs="Times New Roman" w:asciiTheme="minorEastAsia" w:hAnsiTheme="minorEastAsia" w:eastAsiaTheme="minorEastAsia"/>
                <w:szCs w:val="21"/>
              </w:rPr>
            </w:pPr>
            <w:bookmarkStart w:id="0" w:name="_Toc260140049"/>
            <w:bookmarkStart w:id="1" w:name="_Toc260132005"/>
            <w:r>
              <w:rPr>
                <w:rFonts w:cs="Times New Roman" w:asciiTheme="minorEastAsia" w:hAnsiTheme="minorEastAsia" w:eastAsiaTheme="minorEastAsia"/>
                <w:szCs w:val="21"/>
              </w:rPr>
              <w:t>序号</w:t>
            </w:r>
          </w:p>
        </w:tc>
        <w:tc>
          <w:tcPr>
            <w:tcW w:w="3871" w:type="dxa"/>
            <w:tcBorders>
              <w:top w:val="single" w:color="auto" w:sz="4" w:space="0"/>
              <w:left w:val="single" w:color="auto" w:sz="4" w:space="0"/>
              <w:bottom w:val="single" w:color="auto" w:sz="4" w:space="0"/>
              <w:right w:val="single" w:color="auto" w:sz="4" w:space="0"/>
            </w:tcBorders>
            <w:vAlign w:val="center"/>
          </w:tcPr>
          <w:p w14:paraId="79F7F503">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检验项目</w:t>
            </w:r>
          </w:p>
        </w:tc>
        <w:tc>
          <w:tcPr>
            <w:tcW w:w="3446" w:type="dxa"/>
            <w:tcBorders>
              <w:top w:val="single" w:color="auto" w:sz="4" w:space="0"/>
              <w:left w:val="single" w:color="auto" w:sz="4" w:space="0"/>
              <w:bottom w:val="single" w:color="auto" w:sz="4" w:space="0"/>
              <w:right w:val="single" w:color="auto" w:sz="4" w:space="0"/>
            </w:tcBorders>
            <w:vAlign w:val="center"/>
          </w:tcPr>
          <w:p w14:paraId="3019DD70">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检验方法</w:t>
            </w:r>
          </w:p>
        </w:tc>
      </w:tr>
      <w:tr w14:paraId="30649B39">
        <w:tblPrEx>
          <w:tblCellMar>
            <w:top w:w="0" w:type="dxa"/>
            <w:left w:w="108" w:type="dxa"/>
            <w:bottom w:w="0" w:type="dxa"/>
            <w:right w:w="108" w:type="dxa"/>
          </w:tblCellMar>
        </w:tblPrEx>
        <w:trPr>
          <w:trHeight w:val="567"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14:paraId="2A19E897">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3871" w:type="dxa"/>
            <w:tcBorders>
              <w:top w:val="single" w:color="auto" w:sz="4" w:space="0"/>
              <w:left w:val="nil"/>
              <w:bottom w:val="single" w:color="auto" w:sz="4" w:space="0"/>
              <w:right w:val="single" w:color="auto" w:sz="4" w:space="0"/>
            </w:tcBorders>
            <w:vAlign w:val="center"/>
          </w:tcPr>
          <w:p w14:paraId="0089C7E4">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球镜顶焦度偏差</w:t>
            </w:r>
          </w:p>
        </w:tc>
        <w:tc>
          <w:tcPr>
            <w:tcW w:w="3446" w:type="dxa"/>
            <w:tcBorders>
              <w:top w:val="single" w:color="auto" w:sz="4" w:space="0"/>
              <w:left w:val="nil"/>
              <w:bottom w:val="single" w:color="auto" w:sz="4" w:space="0"/>
              <w:right w:val="single" w:color="auto" w:sz="4" w:space="0"/>
            </w:tcBorders>
            <w:vAlign w:val="center"/>
          </w:tcPr>
          <w:p w14:paraId="11B2EDE0">
            <w:pPr>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10810.1-2005</w:t>
            </w:r>
          </w:p>
        </w:tc>
      </w:tr>
      <w:tr w14:paraId="2F8C71C5">
        <w:tblPrEx>
          <w:tblCellMar>
            <w:top w:w="0" w:type="dxa"/>
            <w:left w:w="108" w:type="dxa"/>
            <w:bottom w:w="0" w:type="dxa"/>
            <w:right w:w="108" w:type="dxa"/>
          </w:tblCellMar>
        </w:tblPrEx>
        <w:trPr>
          <w:trHeight w:val="567" w:hRule="atLeast"/>
          <w:jc w:val="center"/>
        </w:trPr>
        <w:tc>
          <w:tcPr>
            <w:tcW w:w="1163" w:type="dxa"/>
            <w:tcBorders>
              <w:top w:val="nil"/>
              <w:left w:val="single" w:color="auto" w:sz="4" w:space="0"/>
              <w:bottom w:val="single" w:color="auto" w:sz="4" w:space="0"/>
              <w:right w:val="single" w:color="auto" w:sz="4" w:space="0"/>
            </w:tcBorders>
            <w:vAlign w:val="center"/>
          </w:tcPr>
          <w:p w14:paraId="2891460C">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3871" w:type="dxa"/>
            <w:tcBorders>
              <w:top w:val="nil"/>
              <w:left w:val="nil"/>
              <w:bottom w:val="single" w:color="auto" w:sz="4" w:space="0"/>
              <w:right w:val="single" w:color="auto" w:sz="4" w:space="0"/>
            </w:tcBorders>
            <w:vAlign w:val="center"/>
          </w:tcPr>
          <w:p w14:paraId="0E69D96F">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柱镜顶焦度偏差</w:t>
            </w:r>
          </w:p>
        </w:tc>
        <w:tc>
          <w:tcPr>
            <w:tcW w:w="3446" w:type="dxa"/>
            <w:tcBorders>
              <w:top w:val="nil"/>
              <w:left w:val="nil"/>
              <w:bottom w:val="single" w:color="auto" w:sz="4" w:space="0"/>
              <w:right w:val="single" w:color="auto" w:sz="4" w:space="0"/>
            </w:tcBorders>
            <w:vAlign w:val="center"/>
          </w:tcPr>
          <w:p w14:paraId="56CA6455">
            <w:pPr>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10810.1-2005</w:t>
            </w:r>
          </w:p>
        </w:tc>
      </w:tr>
      <w:tr w14:paraId="5B3AC21E">
        <w:tblPrEx>
          <w:tblCellMar>
            <w:top w:w="0" w:type="dxa"/>
            <w:left w:w="108" w:type="dxa"/>
            <w:bottom w:w="0" w:type="dxa"/>
            <w:right w:w="108" w:type="dxa"/>
          </w:tblCellMar>
        </w:tblPrEx>
        <w:trPr>
          <w:trHeight w:val="567" w:hRule="atLeast"/>
          <w:jc w:val="center"/>
        </w:trPr>
        <w:tc>
          <w:tcPr>
            <w:tcW w:w="1163" w:type="dxa"/>
            <w:tcBorders>
              <w:top w:val="nil"/>
              <w:left w:val="single" w:color="auto" w:sz="4" w:space="0"/>
              <w:bottom w:val="single" w:color="auto" w:sz="4" w:space="0"/>
              <w:right w:val="single" w:color="auto" w:sz="4" w:space="0"/>
            </w:tcBorders>
            <w:vAlign w:val="center"/>
          </w:tcPr>
          <w:p w14:paraId="58395FE9">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3871" w:type="dxa"/>
            <w:tcBorders>
              <w:top w:val="nil"/>
              <w:left w:val="nil"/>
              <w:bottom w:val="single" w:color="auto" w:sz="4" w:space="0"/>
              <w:right w:val="single" w:color="auto" w:sz="4" w:space="0"/>
            </w:tcBorders>
            <w:vAlign w:val="center"/>
          </w:tcPr>
          <w:p w14:paraId="78CCAA46">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柱镜轴位方向偏差</w:t>
            </w:r>
          </w:p>
        </w:tc>
        <w:tc>
          <w:tcPr>
            <w:tcW w:w="3446" w:type="dxa"/>
            <w:tcBorders>
              <w:top w:val="nil"/>
              <w:left w:val="nil"/>
              <w:bottom w:val="single" w:color="auto" w:sz="4" w:space="0"/>
              <w:right w:val="single" w:color="auto" w:sz="4" w:space="0"/>
            </w:tcBorders>
            <w:vAlign w:val="center"/>
          </w:tcPr>
          <w:p w14:paraId="331397AB">
            <w:pPr>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13511.1-2011</w:t>
            </w:r>
          </w:p>
        </w:tc>
      </w:tr>
      <w:tr w14:paraId="27C7C741">
        <w:tblPrEx>
          <w:tblCellMar>
            <w:top w:w="0" w:type="dxa"/>
            <w:left w:w="108" w:type="dxa"/>
            <w:bottom w:w="0" w:type="dxa"/>
            <w:right w:w="108" w:type="dxa"/>
          </w:tblCellMar>
        </w:tblPrEx>
        <w:trPr>
          <w:trHeight w:val="567"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14:paraId="30DD702E">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3871" w:type="dxa"/>
            <w:tcBorders>
              <w:top w:val="single" w:color="auto" w:sz="4" w:space="0"/>
              <w:left w:val="nil"/>
              <w:bottom w:val="single" w:color="auto" w:sz="4" w:space="0"/>
              <w:right w:val="single" w:color="auto" w:sz="4" w:space="0"/>
            </w:tcBorders>
            <w:vAlign w:val="center"/>
          </w:tcPr>
          <w:p w14:paraId="4DF60C26">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光学中心水平距离偏差</w:t>
            </w:r>
          </w:p>
        </w:tc>
        <w:tc>
          <w:tcPr>
            <w:tcW w:w="3446" w:type="dxa"/>
            <w:tcBorders>
              <w:top w:val="single" w:color="auto" w:sz="4" w:space="0"/>
              <w:left w:val="nil"/>
              <w:bottom w:val="single" w:color="auto" w:sz="4" w:space="0"/>
              <w:right w:val="single" w:color="auto" w:sz="4" w:space="0"/>
            </w:tcBorders>
            <w:vAlign w:val="center"/>
          </w:tcPr>
          <w:p w14:paraId="35AF4600">
            <w:pPr>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13511.1-2011</w:t>
            </w:r>
          </w:p>
        </w:tc>
      </w:tr>
      <w:tr w14:paraId="64A1CE0F">
        <w:tblPrEx>
          <w:tblCellMar>
            <w:top w:w="0" w:type="dxa"/>
            <w:left w:w="108" w:type="dxa"/>
            <w:bottom w:w="0" w:type="dxa"/>
            <w:right w:w="108" w:type="dxa"/>
          </w:tblCellMar>
        </w:tblPrEx>
        <w:trPr>
          <w:trHeight w:val="567"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14:paraId="624E6D04">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3871" w:type="dxa"/>
            <w:tcBorders>
              <w:top w:val="single" w:color="auto" w:sz="4" w:space="0"/>
              <w:left w:val="nil"/>
              <w:bottom w:val="single" w:color="auto" w:sz="4" w:space="0"/>
              <w:right w:val="single" w:color="auto" w:sz="4" w:space="0"/>
            </w:tcBorders>
            <w:vAlign w:val="center"/>
          </w:tcPr>
          <w:p w14:paraId="366D8DE4">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光学中心垂直互差</w:t>
            </w:r>
          </w:p>
        </w:tc>
        <w:tc>
          <w:tcPr>
            <w:tcW w:w="3446" w:type="dxa"/>
            <w:tcBorders>
              <w:top w:val="single" w:color="auto" w:sz="4" w:space="0"/>
              <w:left w:val="nil"/>
              <w:bottom w:val="single" w:color="auto" w:sz="4" w:space="0"/>
              <w:right w:val="single" w:color="auto" w:sz="4" w:space="0"/>
            </w:tcBorders>
            <w:vAlign w:val="center"/>
          </w:tcPr>
          <w:p w14:paraId="5F77CFD1">
            <w:pPr>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13511.1-2011</w:t>
            </w:r>
          </w:p>
        </w:tc>
      </w:tr>
      <w:tr w14:paraId="47AAA16E">
        <w:tblPrEx>
          <w:tblCellMar>
            <w:top w:w="0" w:type="dxa"/>
            <w:left w:w="108" w:type="dxa"/>
            <w:bottom w:w="0" w:type="dxa"/>
            <w:right w:w="108" w:type="dxa"/>
          </w:tblCellMar>
        </w:tblPrEx>
        <w:trPr>
          <w:trHeight w:val="567"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14:paraId="60590901">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3871" w:type="dxa"/>
            <w:tcBorders>
              <w:top w:val="single" w:color="auto" w:sz="4" w:space="0"/>
              <w:left w:val="nil"/>
              <w:bottom w:val="single" w:color="auto" w:sz="4" w:space="0"/>
              <w:right w:val="single" w:color="auto" w:sz="4" w:space="0"/>
            </w:tcBorders>
            <w:vAlign w:val="center"/>
          </w:tcPr>
          <w:p w14:paraId="3354FA9A">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光学中心单侧水平偏差</w:t>
            </w:r>
          </w:p>
        </w:tc>
        <w:tc>
          <w:tcPr>
            <w:tcW w:w="3446" w:type="dxa"/>
            <w:tcBorders>
              <w:top w:val="single" w:color="auto" w:sz="4" w:space="0"/>
              <w:left w:val="nil"/>
              <w:bottom w:val="single" w:color="auto" w:sz="4" w:space="0"/>
              <w:right w:val="single" w:color="auto" w:sz="4" w:space="0"/>
            </w:tcBorders>
            <w:vAlign w:val="center"/>
          </w:tcPr>
          <w:p w14:paraId="455104B6">
            <w:pPr>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13511.1-2011</w:t>
            </w:r>
          </w:p>
        </w:tc>
      </w:tr>
      <w:tr w14:paraId="2C285C20">
        <w:tblPrEx>
          <w:tblCellMar>
            <w:top w:w="0" w:type="dxa"/>
            <w:left w:w="108" w:type="dxa"/>
            <w:bottom w:w="0" w:type="dxa"/>
            <w:right w:w="108" w:type="dxa"/>
          </w:tblCellMar>
        </w:tblPrEx>
        <w:trPr>
          <w:trHeight w:val="567"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14:paraId="6EB68963">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3871" w:type="dxa"/>
            <w:tcBorders>
              <w:top w:val="single" w:color="auto" w:sz="4" w:space="0"/>
              <w:left w:val="nil"/>
              <w:bottom w:val="single" w:color="auto" w:sz="4" w:space="0"/>
              <w:right w:val="single" w:color="auto" w:sz="4" w:space="0"/>
            </w:tcBorders>
            <w:vAlign w:val="center"/>
          </w:tcPr>
          <w:p w14:paraId="020DD907">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镜片材料和表面质量</w:t>
            </w:r>
          </w:p>
        </w:tc>
        <w:tc>
          <w:tcPr>
            <w:tcW w:w="3446" w:type="dxa"/>
            <w:tcBorders>
              <w:top w:val="single" w:color="auto" w:sz="4" w:space="0"/>
              <w:left w:val="nil"/>
              <w:bottom w:val="single" w:color="auto" w:sz="4" w:space="0"/>
              <w:right w:val="single" w:color="auto" w:sz="4" w:space="0"/>
            </w:tcBorders>
            <w:vAlign w:val="center"/>
          </w:tcPr>
          <w:p w14:paraId="41A1344E">
            <w:pPr>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10810.1-2005</w:t>
            </w:r>
          </w:p>
        </w:tc>
      </w:tr>
      <w:tr w14:paraId="77A3CA6C">
        <w:tblPrEx>
          <w:tblCellMar>
            <w:top w:w="0" w:type="dxa"/>
            <w:left w:w="108" w:type="dxa"/>
            <w:bottom w:w="0" w:type="dxa"/>
            <w:right w:w="108" w:type="dxa"/>
          </w:tblCellMar>
        </w:tblPrEx>
        <w:trPr>
          <w:trHeight w:val="567"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14:paraId="77B1DEF7">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3871" w:type="dxa"/>
            <w:tcBorders>
              <w:top w:val="single" w:color="auto" w:sz="4" w:space="0"/>
              <w:left w:val="nil"/>
              <w:bottom w:val="single" w:color="auto" w:sz="4" w:space="0"/>
              <w:right w:val="single" w:color="auto" w:sz="4" w:space="0"/>
            </w:tcBorders>
            <w:vAlign w:val="center"/>
          </w:tcPr>
          <w:p w14:paraId="47EE801D">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装配质量</w:t>
            </w:r>
          </w:p>
        </w:tc>
        <w:tc>
          <w:tcPr>
            <w:tcW w:w="3446" w:type="dxa"/>
            <w:tcBorders>
              <w:top w:val="single" w:color="auto" w:sz="4" w:space="0"/>
              <w:left w:val="nil"/>
              <w:bottom w:val="single" w:color="auto" w:sz="4" w:space="0"/>
              <w:right w:val="single" w:color="auto" w:sz="4" w:space="0"/>
            </w:tcBorders>
            <w:vAlign w:val="center"/>
          </w:tcPr>
          <w:p w14:paraId="0D75CA1C">
            <w:pPr>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13511.1-2005</w:t>
            </w:r>
          </w:p>
        </w:tc>
      </w:tr>
      <w:tr w14:paraId="57CCED97">
        <w:tblPrEx>
          <w:tblCellMar>
            <w:top w:w="0" w:type="dxa"/>
            <w:left w:w="108" w:type="dxa"/>
            <w:bottom w:w="0" w:type="dxa"/>
            <w:right w:w="108" w:type="dxa"/>
          </w:tblCellMar>
        </w:tblPrEx>
        <w:trPr>
          <w:trHeight w:val="567"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14:paraId="5C1A6112">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3871" w:type="dxa"/>
            <w:tcBorders>
              <w:top w:val="single" w:color="auto" w:sz="4" w:space="0"/>
              <w:left w:val="nil"/>
              <w:bottom w:val="single" w:color="auto" w:sz="4" w:space="0"/>
              <w:right w:val="single" w:color="auto" w:sz="4" w:space="0"/>
            </w:tcBorders>
            <w:vAlign w:val="center"/>
          </w:tcPr>
          <w:p w14:paraId="27E1FECD">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光透射比</w:t>
            </w:r>
          </w:p>
        </w:tc>
        <w:tc>
          <w:tcPr>
            <w:tcW w:w="3446" w:type="dxa"/>
            <w:tcBorders>
              <w:top w:val="single" w:color="auto" w:sz="4" w:space="0"/>
              <w:left w:val="nil"/>
              <w:bottom w:val="single" w:color="auto" w:sz="4" w:space="0"/>
              <w:right w:val="single" w:color="auto" w:sz="4" w:space="0"/>
            </w:tcBorders>
            <w:vAlign w:val="center"/>
          </w:tcPr>
          <w:p w14:paraId="3F6A1E56">
            <w:pPr>
              <w:adjustRightInd w:val="0"/>
              <w:snapToGrid w:val="0"/>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10810.3-2006</w:t>
            </w:r>
          </w:p>
        </w:tc>
      </w:tr>
      <w:tr w14:paraId="6D3E78C9">
        <w:tblPrEx>
          <w:tblCellMar>
            <w:top w:w="0" w:type="dxa"/>
            <w:left w:w="108" w:type="dxa"/>
            <w:bottom w:w="0" w:type="dxa"/>
            <w:right w:w="108" w:type="dxa"/>
          </w:tblCellMar>
        </w:tblPrEx>
        <w:trPr>
          <w:trHeight w:val="567" w:hRule="atLeast"/>
          <w:jc w:val="center"/>
        </w:trPr>
        <w:tc>
          <w:tcPr>
            <w:tcW w:w="1163" w:type="dxa"/>
            <w:tcBorders>
              <w:top w:val="single" w:color="auto" w:sz="4" w:space="0"/>
              <w:left w:val="single" w:color="auto" w:sz="4" w:space="0"/>
              <w:bottom w:val="single" w:color="auto" w:sz="4" w:space="0"/>
              <w:right w:val="single" w:color="auto" w:sz="4" w:space="0"/>
            </w:tcBorders>
            <w:vAlign w:val="center"/>
          </w:tcPr>
          <w:p w14:paraId="6F279BDA">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3871" w:type="dxa"/>
            <w:tcBorders>
              <w:top w:val="single" w:color="auto" w:sz="4" w:space="0"/>
              <w:left w:val="nil"/>
              <w:bottom w:val="single" w:color="auto" w:sz="4" w:space="0"/>
              <w:right w:val="single" w:color="auto" w:sz="4" w:space="0"/>
            </w:tcBorders>
            <w:vAlign w:val="center"/>
          </w:tcPr>
          <w:p w14:paraId="62B08EDD">
            <w:pPr>
              <w:spacing w:line="240" w:lineRule="auto"/>
              <w:ind w:left="42" w:hanging="42" w:hangingChars="20"/>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光透射比相对偏差</w:t>
            </w:r>
          </w:p>
        </w:tc>
        <w:tc>
          <w:tcPr>
            <w:tcW w:w="3446" w:type="dxa"/>
            <w:tcBorders>
              <w:top w:val="single" w:color="auto" w:sz="4" w:space="0"/>
              <w:left w:val="nil"/>
              <w:bottom w:val="single" w:color="auto" w:sz="4" w:space="0"/>
              <w:right w:val="single" w:color="auto" w:sz="4" w:space="0"/>
            </w:tcBorders>
            <w:vAlign w:val="center"/>
          </w:tcPr>
          <w:p w14:paraId="1F6FF124">
            <w:pPr>
              <w:adjustRightInd w:val="0"/>
              <w:snapToGrid w:val="0"/>
              <w:spacing w:line="240" w:lineRule="auto"/>
              <w:ind w:left="42" w:hanging="42" w:hangingChars="20"/>
              <w:jc w:val="center"/>
              <w:rPr>
                <w:rFonts w:ascii="Times New Roman" w:hAnsi="Times New Roman" w:cs="Times New Roman" w:eastAsiaTheme="minorEastAsia"/>
                <w:szCs w:val="21"/>
              </w:rPr>
            </w:pPr>
            <w:r>
              <w:rPr>
                <w:rFonts w:ascii="Times New Roman" w:hAnsi="Times New Roman" w:cs="Times New Roman" w:eastAsiaTheme="minorEastAsia"/>
                <w:szCs w:val="21"/>
              </w:rPr>
              <w:t>GB 10810.3-2006</w:t>
            </w:r>
          </w:p>
        </w:tc>
      </w:tr>
      <w:bookmarkEnd w:id="0"/>
      <w:bookmarkEnd w:id="1"/>
    </w:tbl>
    <w:p w14:paraId="5F2FA324">
      <w:pPr>
        <w:pStyle w:val="2"/>
        <w:rPr>
          <w:rFonts w:ascii="Times New Roman" w:hAnsi="Times New Roman" w:eastAsia="黑体"/>
          <w:sz w:val="21"/>
          <w:szCs w:val="21"/>
        </w:rPr>
      </w:pPr>
    </w:p>
    <w:p w14:paraId="4C6AC5E4">
      <w:pPr>
        <w:adjustRightInd w:val="0"/>
        <w:snapToGrid w:val="0"/>
        <w:ind w:firstLine="420" w:firstLineChars="200"/>
        <w:jc w:val="center"/>
        <w:rPr>
          <w:rFonts w:asciiTheme="minorEastAsia" w:hAnsiTheme="minorEastAsia"/>
          <w:szCs w:val="21"/>
        </w:rPr>
      </w:pPr>
    </w:p>
    <w:p w14:paraId="32D6F5F6">
      <w:pPr>
        <w:adjustRightInd w:val="0"/>
        <w:snapToGrid w:val="0"/>
        <w:ind w:firstLine="420" w:firstLineChars="200"/>
        <w:jc w:val="center"/>
        <w:rPr>
          <w:rFonts w:asciiTheme="minorEastAsia" w:hAnsiTheme="minorEastAsia"/>
          <w:szCs w:val="21"/>
        </w:rPr>
      </w:pPr>
    </w:p>
    <w:p w14:paraId="11501494">
      <w:pPr>
        <w:adjustRightInd w:val="0"/>
        <w:snapToGrid w:val="0"/>
        <w:ind w:firstLine="420" w:firstLineChars="200"/>
        <w:jc w:val="center"/>
        <w:rPr>
          <w:rFonts w:asciiTheme="minorEastAsia" w:hAnsiTheme="minorEastAsia"/>
          <w:szCs w:val="21"/>
        </w:rPr>
      </w:pPr>
      <w:r>
        <w:rPr>
          <w:rFonts w:asciiTheme="minorEastAsia" w:hAnsiTheme="minorEastAsia"/>
          <w:szCs w:val="21"/>
        </w:rPr>
        <w:t>表</w:t>
      </w:r>
      <w:r>
        <w:rPr>
          <w:rFonts w:hint="eastAsia" w:asciiTheme="minorEastAsia" w:hAnsiTheme="minorEastAsia"/>
          <w:szCs w:val="21"/>
        </w:rPr>
        <w:t xml:space="preserve">3 </w:t>
      </w:r>
      <w:r>
        <w:rPr>
          <w:rFonts w:asciiTheme="minorEastAsia" w:hAnsiTheme="minorEastAsia"/>
          <w:szCs w:val="21"/>
        </w:rPr>
        <w:t>老视成镜</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4023"/>
        <w:gridCol w:w="3304"/>
      </w:tblGrid>
      <w:tr w14:paraId="1D7AA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146" w:type="dxa"/>
            <w:vAlign w:val="center"/>
          </w:tcPr>
          <w:p w14:paraId="11841C9D">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序号</w:t>
            </w:r>
          </w:p>
        </w:tc>
        <w:tc>
          <w:tcPr>
            <w:tcW w:w="4023" w:type="dxa"/>
            <w:vAlign w:val="center"/>
          </w:tcPr>
          <w:p w14:paraId="5286D965">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检验项目</w:t>
            </w:r>
          </w:p>
        </w:tc>
        <w:tc>
          <w:tcPr>
            <w:tcW w:w="3304" w:type="dxa"/>
            <w:vAlign w:val="center"/>
          </w:tcPr>
          <w:p w14:paraId="1333055F">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检验方法</w:t>
            </w:r>
          </w:p>
        </w:tc>
      </w:tr>
      <w:tr w14:paraId="1C0B0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3DF22F6C">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4023" w:type="dxa"/>
            <w:vAlign w:val="center"/>
          </w:tcPr>
          <w:p w14:paraId="7BFB00AD">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球镜顶焦度偏差（主子午面一）</w:t>
            </w:r>
          </w:p>
        </w:tc>
        <w:tc>
          <w:tcPr>
            <w:tcW w:w="3304" w:type="dxa"/>
            <w:vAlign w:val="center"/>
          </w:tcPr>
          <w:p w14:paraId="17DD3848">
            <w:pPr>
              <w:spacing w:line="240" w:lineRule="auto"/>
              <w:jc w:val="center"/>
              <w:rPr>
                <w:rFonts w:ascii="Times New Roman" w:hAnsi="Times New Roman" w:cs="Times New Roman" w:eastAsiaTheme="minorEastAsia"/>
                <w:sz w:val="21"/>
                <w:szCs w:val="21"/>
              </w:rPr>
            </w:pPr>
            <w:r>
              <w:rPr>
                <w:rFonts w:ascii="Times New Roman" w:hAnsi="Times New Roman" w:cs="Times New Roman" w:eastAsiaTheme="minorEastAsia"/>
                <w:szCs w:val="21"/>
              </w:rPr>
              <w:t>GB 10810.1-2005</w:t>
            </w:r>
          </w:p>
        </w:tc>
      </w:tr>
      <w:tr w14:paraId="5A0E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47A567C9">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4023" w:type="dxa"/>
            <w:vAlign w:val="center"/>
          </w:tcPr>
          <w:p w14:paraId="73119535">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球镜顶焦度偏差（主子午面二）</w:t>
            </w:r>
          </w:p>
        </w:tc>
        <w:tc>
          <w:tcPr>
            <w:tcW w:w="3304" w:type="dxa"/>
            <w:vAlign w:val="center"/>
          </w:tcPr>
          <w:p w14:paraId="5FA97B68">
            <w:pPr>
              <w:spacing w:line="240" w:lineRule="auto"/>
              <w:jc w:val="center"/>
              <w:rPr>
                <w:rFonts w:ascii="Times New Roman" w:hAnsi="Times New Roman" w:cs="Times New Roman" w:eastAsiaTheme="minorEastAsia"/>
                <w:sz w:val="21"/>
                <w:szCs w:val="21"/>
              </w:rPr>
            </w:pPr>
            <w:r>
              <w:rPr>
                <w:rFonts w:ascii="Times New Roman" w:hAnsi="Times New Roman" w:cs="Times New Roman" w:eastAsiaTheme="minorEastAsia"/>
                <w:szCs w:val="21"/>
              </w:rPr>
              <w:t>GB 10810.1-2005</w:t>
            </w:r>
          </w:p>
        </w:tc>
      </w:tr>
      <w:tr w14:paraId="614DD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12AA73D8">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4023" w:type="dxa"/>
            <w:vAlign w:val="center"/>
          </w:tcPr>
          <w:p w14:paraId="2CF9A2EA">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柱镜顶焦度偏差</w:t>
            </w:r>
          </w:p>
        </w:tc>
        <w:tc>
          <w:tcPr>
            <w:tcW w:w="3304" w:type="dxa"/>
            <w:vAlign w:val="center"/>
          </w:tcPr>
          <w:p w14:paraId="01AFBEED">
            <w:pPr>
              <w:spacing w:line="240" w:lineRule="auto"/>
              <w:jc w:val="center"/>
              <w:rPr>
                <w:rFonts w:ascii="Times New Roman" w:hAnsi="Times New Roman" w:cs="Times New Roman"/>
                <w:sz w:val="21"/>
                <w:szCs w:val="21"/>
              </w:rPr>
            </w:pPr>
            <w:r>
              <w:rPr>
                <w:rFonts w:ascii="Times New Roman" w:hAnsi="Times New Roman" w:cs="Times New Roman"/>
                <w:szCs w:val="21"/>
              </w:rPr>
              <w:t>GB 10810.1-2005</w:t>
            </w:r>
          </w:p>
        </w:tc>
      </w:tr>
      <w:tr w14:paraId="3B66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4B454538">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4023" w:type="dxa"/>
            <w:vAlign w:val="center"/>
          </w:tcPr>
          <w:p w14:paraId="3852FD10">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可见光透射比</w:t>
            </w:r>
          </w:p>
        </w:tc>
        <w:tc>
          <w:tcPr>
            <w:tcW w:w="3304" w:type="dxa"/>
            <w:vAlign w:val="center"/>
          </w:tcPr>
          <w:p w14:paraId="03E19962">
            <w:pPr>
              <w:spacing w:line="240" w:lineRule="auto"/>
              <w:jc w:val="center"/>
              <w:rPr>
                <w:rFonts w:ascii="Times New Roman" w:hAnsi="Times New Roman" w:cs="Times New Roman"/>
                <w:sz w:val="21"/>
                <w:szCs w:val="21"/>
              </w:rPr>
            </w:pPr>
            <w:r>
              <w:rPr>
                <w:rFonts w:ascii="Times New Roman" w:hAnsi="Times New Roman" w:cs="Times New Roman"/>
                <w:szCs w:val="21"/>
              </w:rPr>
              <w:t>GB 10810.3-2006</w:t>
            </w:r>
          </w:p>
        </w:tc>
      </w:tr>
      <w:tr w14:paraId="3FB7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6CCA68D9">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4023" w:type="dxa"/>
            <w:vAlign w:val="center"/>
          </w:tcPr>
          <w:p w14:paraId="60C81822">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光学中心水平偏差</w:t>
            </w:r>
          </w:p>
        </w:tc>
        <w:tc>
          <w:tcPr>
            <w:tcW w:w="3304" w:type="dxa"/>
            <w:vAlign w:val="center"/>
          </w:tcPr>
          <w:p w14:paraId="24EB127E">
            <w:pPr>
              <w:spacing w:line="240" w:lineRule="auto"/>
              <w:jc w:val="center"/>
              <w:rPr>
                <w:rFonts w:ascii="Times New Roman" w:hAnsi="Times New Roman" w:cs="Times New Roman"/>
                <w:sz w:val="21"/>
                <w:szCs w:val="21"/>
                <w:highlight w:val="none"/>
              </w:rPr>
            </w:pPr>
            <w:r>
              <w:rPr>
                <w:rFonts w:ascii="Times New Roman" w:hAnsi="Times New Roman" w:cs="Times New Roman"/>
                <w:szCs w:val="21"/>
                <w:highlight w:val="none"/>
              </w:rPr>
              <w:t>GB 13511.1-2011</w:t>
            </w:r>
          </w:p>
          <w:p w14:paraId="77C2B7CD">
            <w:pPr>
              <w:spacing w:line="240" w:lineRule="auto"/>
              <w:jc w:val="center"/>
              <w:rPr>
                <w:rFonts w:ascii="Times New Roman" w:hAnsi="Times New Roman" w:cs="Times New Roman"/>
                <w:sz w:val="21"/>
                <w:szCs w:val="21"/>
                <w:highlight w:val="none"/>
              </w:rPr>
            </w:pPr>
            <w:r>
              <w:rPr>
                <w:rFonts w:ascii="Times New Roman" w:hAnsi="Times New Roman" w:cs="Times New Roman"/>
                <w:szCs w:val="21"/>
                <w:highlight w:val="none"/>
              </w:rPr>
              <w:t>GB/T 13511.3-2019</w:t>
            </w:r>
          </w:p>
        </w:tc>
      </w:tr>
      <w:tr w14:paraId="66B30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7D640EEE">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4023" w:type="dxa"/>
            <w:vAlign w:val="center"/>
          </w:tcPr>
          <w:p w14:paraId="29FB10D0">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光学中心单侧水平偏差</w:t>
            </w:r>
          </w:p>
        </w:tc>
        <w:tc>
          <w:tcPr>
            <w:tcW w:w="3304" w:type="dxa"/>
            <w:vAlign w:val="center"/>
          </w:tcPr>
          <w:p w14:paraId="0B7EA071">
            <w:pPr>
              <w:spacing w:line="240" w:lineRule="auto"/>
              <w:jc w:val="center"/>
              <w:rPr>
                <w:rFonts w:ascii="Times New Roman" w:hAnsi="Times New Roman" w:cs="Times New Roman"/>
                <w:sz w:val="21"/>
                <w:szCs w:val="21"/>
                <w:highlight w:val="none"/>
              </w:rPr>
            </w:pPr>
            <w:r>
              <w:rPr>
                <w:rFonts w:ascii="Times New Roman" w:hAnsi="Times New Roman" w:cs="Times New Roman"/>
                <w:szCs w:val="21"/>
                <w:highlight w:val="none"/>
              </w:rPr>
              <w:t>GB 13511.1-2011</w:t>
            </w:r>
          </w:p>
          <w:p w14:paraId="7FED8521">
            <w:pPr>
              <w:spacing w:line="240" w:lineRule="auto"/>
              <w:jc w:val="center"/>
              <w:rPr>
                <w:rFonts w:ascii="Times New Roman" w:hAnsi="Times New Roman" w:cs="Times New Roman"/>
                <w:sz w:val="21"/>
                <w:szCs w:val="21"/>
                <w:highlight w:val="none"/>
              </w:rPr>
            </w:pPr>
            <w:r>
              <w:rPr>
                <w:rFonts w:ascii="Times New Roman" w:hAnsi="Times New Roman" w:cs="Times New Roman"/>
                <w:szCs w:val="21"/>
                <w:highlight w:val="none"/>
              </w:rPr>
              <w:t>GB/T 13511.3-2019</w:t>
            </w:r>
          </w:p>
        </w:tc>
      </w:tr>
      <w:tr w14:paraId="3CB26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2388719A">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4023" w:type="dxa"/>
            <w:vAlign w:val="center"/>
          </w:tcPr>
          <w:p w14:paraId="31C022A8">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光学中心垂直互差</w:t>
            </w:r>
          </w:p>
        </w:tc>
        <w:tc>
          <w:tcPr>
            <w:tcW w:w="3304" w:type="dxa"/>
            <w:vAlign w:val="center"/>
          </w:tcPr>
          <w:p w14:paraId="2CB4D081">
            <w:pPr>
              <w:spacing w:line="240" w:lineRule="auto"/>
              <w:jc w:val="center"/>
              <w:rPr>
                <w:rFonts w:ascii="Times New Roman" w:hAnsi="Times New Roman" w:cs="Times New Roman"/>
                <w:sz w:val="21"/>
                <w:szCs w:val="21"/>
              </w:rPr>
            </w:pPr>
            <w:r>
              <w:rPr>
                <w:rFonts w:ascii="Times New Roman" w:hAnsi="Times New Roman" w:cs="Times New Roman"/>
                <w:szCs w:val="21"/>
              </w:rPr>
              <w:t>GB 13511.1-2011</w:t>
            </w:r>
          </w:p>
          <w:p w14:paraId="51F136AF">
            <w:pPr>
              <w:spacing w:line="240" w:lineRule="auto"/>
              <w:jc w:val="center"/>
              <w:rPr>
                <w:rFonts w:ascii="Times New Roman" w:hAnsi="Times New Roman" w:cs="Times New Roman"/>
                <w:sz w:val="21"/>
                <w:szCs w:val="21"/>
              </w:rPr>
            </w:pPr>
            <w:r>
              <w:rPr>
                <w:rFonts w:ascii="Times New Roman" w:hAnsi="Times New Roman" w:cs="Times New Roman"/>
                <w:szCs w:val="21"/>
              </w:rPr>
              <w:t>GB/T 13511.3-2019</w:t>
            </w:r>
          </w:p>
        </w:tc>
      </w:tr>
      <w:tr w14:paraId="61DD8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221F6009">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4023" w:type="dxa"/>
            <w:vAlign w:val="center"/>
          </w:tcPr>
          <w:p w14:paraId="78EAC4D6">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两镜片顶焦度互差</w:t>
            </w:r>
          </w:p>
        </w:tc>
        <w:tc>
          <w:tcPr>
            <w:tcW w:w="3304" w:type="dxa"/>
            <w:vAlign w:val="center"/>
          </w:tcPr>
          <w:p w14:paraId="64528061">
            <w:pPr>
              <w:spacing w:line="240" w:lineRule="auto"/>
              <w:jc w:val="center"/>
              <w:rPr>
                <w:rFonts w:ascii="Times New Roman" w:hAnsi="Times New Roman" w:cs="Times New Roman"/>
                <w:sz w:val="21"/>
                <w:szCs w:val="21"/>
              </w:rPr>
            </w:pPr>
            <w:r>
              <w:rPr>
                <w:rFonts w:ascii="Times New Roman" w:hAnsi="Times New Roman" w:cs="Times New Roman"/>
                <w:szCs w:val="21"/>
              </w:rPr>
              <w:t>GB 10810.1-2005</w:t>
            </w:r>
          </w:p>
        </w:tc>
      </w:tr>
      <w:tr w14:paraId="3733F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46" w:type="dxa"/>
            <w:vAlign w:val="center"/>
          </w:tcPr>
          <w:p w14:paraId="32DB1E4D">
            <w:pPr>
              <w:spacing w:line="240" w:lineRule="auto"/>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4023" w:type="dxa"/>
            <w:vAlign w:val="center"/>
          </w:tcPr>
          <w:p w14:paraId="671E22C8">
            <w:pPr>
              <w:spacing w:line="240" w:lineRule="auto"/>
              <w:jc w:val="center"/>
              <w:rPr>
                <w:rFonts w:cs="Times New Roman" w:asciiTheme="minorEastAsia" w:hAnsiTheme="minorEastAsia" w:eastAsiaTheme="minorEastAsia"/>
                <w:szCs w:val="21"/>
              </w:rPr>
            </w:pPr>
            <w:r>
              <w:rPr>
                <w:rFonts w:cs="Times New Roman" w:asciiTheme="minorEastAsia" w:hAnsiTheme="minorEastAsia" w:eastAsiaTheme="minorEastAsia"/>
                <w:szCs w:val="21"/>
              </w:rPr>
              <w:t>装配质量</w:t>
            </w:r>
          </w:p>
        </w:tc>
        <w:tc>
          <w:tcPr>
            <w:tcW w:w="3304" w:type="dxa"/>
            <w:vAlign w:val="center"/>
          </w:tcPr>
          <w:p w14:paraId="6FDC4934">
            <w:pPr>
              <w:spacing w:line="240" w:lineRule="auto"/>
              <w:jc w:val="center"/>
              <w:rPr>
                <w:rFonts w:ascii="Times New Roman" w:hAnsi="Times New Roman" w:cs="Times New Roman"/>
                <w:szCs w:val="21"/>
              </w:rPr>
            </w:pPr>
            <w:r>
              <w:rPr>
                <w:rFonts w:ascii="Times New Roman" w:hAnsi="Times New Roman" w:cs="Times New Roman"/>
                <w:szCs w:val="21"/>
              </w:rPr>
              <w:t>GB 13511.1-2011</w:t>
            </w:r>
          </w:p>
          <w:p w14:paraId="1B22F57C">
            <w:pPr>
              <w:spacing w:line="240" w:lineRule="auto"/>
              <w:jc w:val="center"/>
              <w:rPr>
                <w:rFonts w:ascii="Times New Roman" w:hAnsi="Times New Roman" w:cs="Times New Roman"/>
                <w:szCs w:val="21"/>
              </w:rPr>
            </w:pPr>
            <w:r>
              <w:rPr>
                <w:rFonts w:ascii="Times New Roman" w:hAnsi="Times New Roman" w:cs="Times New Roman"/>
                <w:szCs w:val="21"/>
              </w:rPr>
              <w:t>GB/T 13511.3-2019</w:t>
            </w:r>
          </w:p>
        </w:tc>
      </w:tr>
    </w:tbl>
    <w:p w14:paraId="7E460B34">
      <w:pPr>
        <w:spacing w:line="440" w:lineRule="exact"/>
        <w:rPr>
          <w:rFonts w:asciiTheme="minorHAnsi" w:hAnsiTheme="minorHAnsi" w:eastAsiaTheme="minorEastAsia" w:cstheme="minorBidi"/>
          <w:kern w:val="2"/>
          <w:sz w:val="21"/>
          <w:szCs w:val="21"/>
        </w:rPr>
      </w:pPr>
      <w:r>
        <w:rPr>
          <w:rFonts w:hint="eastAsia" w:ascii="Times New Roman" w:hAnsi="Times New Roman" w:eastAsia="黑体" w:cs="Times New Roman"/>
          <w:szCs w:val="21"/>
        </w:rPr>
        <w:t xml:space="preserve"> </w:t>
      </w:r>
    </w:p>
    <w:p w14:paraId="29E717D6">
      <w:pPr>
        <w:spacing w:line="440" w:lineRule="exact"/>
        <w:rPr>
          <w:rFonts w:ascii="黑体" w:hAnsi="黑体" w:eastAsia="黑体" w:cs="Times New Roman"/>
          <w:szCs w:val="21"/>
        </w:rPr>
      </w:pPr>
      <w:r>
        <w:rPr>
          <w:rFonts w:ascii="黑体" w:hAnsi="黑体" w:eastAsia="黑体" w:cs="Times New Roman"/>
          <w:szCs w:val="21"/>
        </w:rPr>
        <w:t xml:space="preserve">3 </w:t>
      </w:r>
      <w:r>
        <w:rPr>
          <w:rFonts w:hint="eastAsia" w:ascii="黑体" w:hAnsi="黑体" w:eastAsia="黑体" w:cs="Times New Roman"/>
          <w:szCs w:val="21"/>
        </w:rPr>
        <w:t>判定规则</w:t>
      </w:r>
    </w:p>
    <w:p w14:paraId="27DD6A23">
      <w:pPr>
        <w:snapToGrid w:val="0"/>
        <w:spacing w:line="440" w:lineRule="exact"/>
        <w:rPr>
          <w:rFonts w:asciiTheme="minorEastAsia" w:hAnsiTheme="minorEastAsia"/>
          <w:szCs w:val="21"/>
        </w:rPr>
      </w:pPr>
      <w:r>
        <w:rPr>
          <w:rFonts w:asciiTheme="minorEastAsia" w:hAnsiTheme="minorEastAsia"/>
          <w:szCs w:val="21"/>
        </w:rPr>
        <w:t>3.1依据标准</w:t>
      </w:r>
    </w:p>
    <w:p w14:paraId="1B91F923">
      <w:pPr>
        <w:spacing w:line="440" w:lineRule="exact"/>
        <w:ind w:firstLine="420" w:firstLineChars="200"/>
        <w:rPr>
          <w:rFonts w:cs="Times New Roman" w:asciiTheme="minorEastAsia" w:hAnsiTheme="minorEastAsia" w:eastAsiaTheme="minorEastAsia"/>
          <w:szCs w:val="21"/>
        </w:rPr>
      </w:pPr>
      <w:r>
        <w:rPr>
          <w:rFonts w:ascii="Times New Roman" w:hAnsi="Times New Roman" w:cs="Times New Roman" w:eastAsiaTheme="minorEastAsia"/>
          <w:szCs w:val="21"/>
        </w:rPr>
        <w:t>GB 10810.1-2005</w:t>
      </w:r>
      <w:r>
        <w:rPr>
          <w:rFonts w:cs="Times New Roman" w:asciiTheme="minorEastAsia" w:hAnsiTheme="minorEastAsia" w:eastAsiaTheme="minorEastAsia"/>
          <w:szCs w:val="21"/>
        </w:rPr>
        <w:t xml:space="preserve"> 眼镜镜片 第1部分</w:t>
      </w:r>
      <w:r>
        <w:rPr>
          <w:rFonts w:hint="eastAsia" w:cs="Times New Roman" w:asciiTheme="minorEastAsia" w:hAnsiTheme="minorEastAsia"/>
          <w:szCs w:val="21"/>
          <w:u w:val="none"/>
          <w:lang w:eastAsia="zh-CN"/>
        </w:rPr>
        <w:t>：</w:t>
      </w:r>
      <w:r>
        <w:rPr>
          <w:rFonts w:cs="Times New Roman" w:asciiTheme="minorEastAsia" w:hAnsiTheme="minorEastAsia" w:eastAsiaTheme="minorEastAsia"/>
          <w:szCs w:val="21"/>
        </w:rPr>
        <w:t>单光和多焦点镜片</w:t>
      </w:r>
    </w:p>
    <w:p w14:paraId="06EF5F89">
      <w:pPr>
        <w:spacing w:line="440" w:lineRule="exact"/>
        <w:ind w:firstLine="420" w:firstLineChars="200"/>
        <w:rPr>
          <w:rFonts w:cs="Times New Roman" w:asciiTheme="minorEastAsia" w:hAnsiTheme="minorEastAsia" w:eastAsiaTheme="minorEastAsia"/>
          <w:szCs w:val="21"/>
        </w:rPr>
      </w:pPr>
      <w:r>
        <w:rPr>
          <w:rFonts w:ascii="Times New Roman" w:hAnsi="Times New Roman" w:cs="Times New Roman" w:eastAsiaTheme="minorEastAsia"/>
          <w:szCs w:val="21"/>
        </w:rPr>
        <w:t>GB 10810.3-2006</w:t>
      </w:r>
      <w:r>
        <w:rPr>
          <w:rFonts w:cs="Times New Roman" w:asciiTheme="minorEastAsia" w:hAnsiTheme="minorEastAsia" w:eastAsiaTheme="minorEastAsia"/>
          <w:szCs w:val="21"/>
        </w:rPr>
        <w:t xml:space="preserve"> 眼镜镜片及相关眼镜产品 第3部分</w:t>
      </w:r>
      <w:r>
        <w:rPr>
          <w:rFonts w:hint="eastAsia" w:cs="Times New Roman" w:asciiTheme="minorEastAsia" w:hAnsiTheme="minorEastAsia"/>
          <w:szCs w:val="21"/>
          <w:lang w:eastAsia="zh-CN"/>
        </w:rPr>
        <w:t>：</w:t>
      </w:r>
      <w:r>
        <w:rPr>
          <w:rFonts w:cs="Times New Roman" w:asciiTheme="minorEastAsia" w:hAnsiTheme="minorEastAsia" w:eastAsiaTheme="minorEastAsia"/>
          <w:szCs w:val="21"/>
        </w:rPr>
        <w:t>透射比规范及测量方法</w:t>
      </w:r>
    </w:p>
    <w:p w14:paraId="674A9EBF">
      <w:pPr>
        <w:spacing w:line="440" w:lineRule="exact"/>
        <w:ind w:firstLine="420" w:firstLineChars="200"/>
        <w:rPr>
          <w:rFonts w:cs="Times New Roman" w:asciiTheme="minorEastAsia" w:hAnsiTheme="minorEastAsia" w:eastAsiaTheme="minorEastAsia"/>
          <w:szCs w:val="21"/>
        </w:rPr>
      </w:pPr>
      <w:r>
        <w:rPr>
          <w:rFonts w:ascii="Times New Roman" w:hAnsi="Times New Roman" w:cs="Times New Roman" w:eastAsiaTheme="minorEastAsia"/>
          <w:szCs w:val="21"/>
        </w:rPr>
        <w:t xml:space="preserve">GB 13511.1-2011 </w:t>
      </w:r>
      <w:r>
        <w:rPr>
          <w:rFonts w:cs="Times New Roman" w:asciiTheme="minorEastAsia" w:hAnsiTheme="minorEastAsia" w:eastAsiaTheme="minorEastAsia"/>
          <w:szCs w:val="21"/>
        </w:rPr>
        <w:t>配装眼镜 第1部分</w:t>
      </w:r>
      <w:r>
        <w:rPr>
          <w:rFonts w:hint="eastAsia" w:cs="Times New Roman" w:asciiTheme="minorEastAsia" w:hAnsiTheme="minorEastAsia"/>
          <w:szCs w:val="21"/>
          <w:lang w:eastAsia="zh-CN"/>
        </w:rPr>
        <w:t>：</w:t>
      </w:r>
      <w:r>
        <w:rPr>
          <w:rFonts w:cs="Times New Roman" w:asciiTheme="minorEastAsia" w:hAnsiTheme="minorEastAsia" w:eastAsiaTheme="minorEastAsia"/>
          <w:szCs w:val="21"/>
        </w:rPr>
        <w:t>单光和多焦点</w:t>
      </w:r>
    </w:p>
    <w:p w14:paraId="174EB78E">
      <w:pPr>
        <w:spacing w:line="440" w:lineRule="exact"/>
        <w:ind w:firstLine="420" w:firstLineChars="200"/>
        <w:rPr>
          <w:rFonts w:cs="Times New Roman" w:asciiTheme="minorEastAsia" w:hAnsiTheme="minorEastAsia" w:eastAsiaTheme="minorEastAsia"/>
          <w:szCs w:val="21"/>
        </w:rPr>
      </w:pPr>
      <w:r>
        <w:rPr>
          <w:rFonts w:hint="eastAsia" w:ascii="Times New Roman" w:hAnsi="Times New Roman" w:cs="Times New Roman" w:eastAsiaTheme="minorEastAsia"/>
          <w:szCs w:val="21"/>
        </w:rPr>
        <w:t>GB/T 13511.3-2019</w:t>
      </w:r>
      <w:r>
        <w:rPr>
          <w:rFonts w:hint="eastAsia" w:cs="Times New Roman" w:asciiTheme="minorEastAsia" w:hAnsiTheme="minorEastAsia" w:eastAsiaTheme="minorEastAsia"/>
          <w:szCs w:val="21"/>
        </w:rPr>
        <w:t xml:space="preserve">配装眼镜 第3部分：单光老视成镜 </w:t>
      </w:r>
    </w:p>
    <w:p w14:paraId="14831CCD">
      <w:pPr>
        <w:snapToGrid w:val="0"/>
        <w:spacing w:line="440" w:lineRule="exact"/>
        <w:ind w:firstLine="359" w:firstLineChars="171"/>
        <w:rPr>
          <w:rFonts w:asciiTheme="minorEastAsia" w:hAnsiTheme="minorEastAsia"/>
          <w:szCs w:val="21"/>
        </w:rPr>
      </w:pPr>
      <w:r>
        <w:rPr>
          <w:rFonts w:asciiTheme="minorEastAsia" w:hAnsiTheme="minorEastAsia"/>
          <w:szCs w:val="21"/>
        </w:rPr>
        <w:t>现行有效的企业标准、团体标准、地方标准及产品明示质量要求</w:t>
      </w:r>
    </w:p>
    <w:p w14:paraId="6B5B410A">
      <w:pPr>
        <w:snapToGrid w:val="0"/>
        <w:spacing w:line="440" w:lineRule="exact"/>
        <w:rPr>
          <w:rFonts w:asciiTheme="minorEastAsia" w:hAnsiTheme="minorEastAsia"/>
          <w:szCs w:val="21"/>
        </w:rPr>
      </w:pPr>
      <w:r>
        <w:rPr>
          <w:rFonts w:asciiTheme="minorEastAsia" w:hAnsiTheme="minorEastAsia"/>
          <w:szCs w:val="21"/>
        </w:rPr>
        <w:t>3.2判定原则</w:t>
      </w:r>
    </w:p>
    <w:p w14:paraId="6C6CA4C2">
      <w:pPr>
        <w:spacing w:line="440" w:lineRule="exact"/>
        <w:ind w:firstLine="420" w:firstLineChars="200"/>
        <w:rPr>
          <w:rFonts w:cs="Times New Roman" w:asciiTheme="minorEastAsia" w:hAnsiTheme="minorEastAsia" w:eastAsiaTheme="minorEastAsia"/>
          <w:szCs w:val="21"/>
        </w:rPr>
      </w:pPr>
      <w:r>
        <w:rPr>
          <w:rFonts w:cs="Times New Roman" w:asciiTheme="minorEastAsia" w:hAnsiTheme="minorEastAsia" w:eastAsiaTheme="minorEastAsia"/>
          <w:szCs w:val="21"/>
        </w:rPr>
        <w:t>经检验，检验项目全部合格，判定为被抽查产品所检项目未发现不合格；检验项目中任一项或一项以上不合格，判定为被抽查产品不合格。</w:t>
      </w:r>
    </w:p>
    <w:p w14:paraId="6F8B3FEF">
      <w:pPr>
        <w:spacing w:line="440" w:lineRule="exact"/>
        <w:ind w:firstLine="420" w:firstLineChars="200"/>
        <w:rPr>
          <w:rFonts w:cs="Times New Roman" w:asciiTheme="minorEastAsia" w:hAnsiTheme="minorEastAsia" w:eastAsiaTheme="minorEastAsia"/>
          <w:szCs w:val="21"/>
        </w:rPr>
      </w:pPr>
      <w:r>
        <w:rPr>
          <w:rFonts w:cs="Times New Roman" w:asciiTheme="minorEastAsia" w:hAnsiTheme="minorEastAsia" w:eastAsiaTheme="minorEastAsia"/>
          <w:szCs w:val="21"/>
        </w:rPr>
        <w:t>若被检产品明示的质量要求高于本细则中检验项目依据的标准要求时，应按被检产品明示的质量要求判定。</w:t>
      </w:r>
    </w:p>
    <w:p w14:paraId="57D547D1">
      <w:pPr>
        <w:spacing w:line="440" w:lineRule="exact"/>
        <w:ind w:firstLine="420" w:firstLineChars="200"/>
        <w:rPr>
          <w:rFonts w:cs="Times New Roman" w:asciiTheme="minorEastAsia" w:hAnsiTheme="minorEastAsia" w:eastAsiaTheme="minorEastAsia"/>
          <w:szCs w:val="21"/>
        </w:rPr>
      </w:pPr>
      <w:r>
        <w:rPr>
          <w:rFonts w:cs="Times New Roman" w:asciiTheme="minorEastAsia" w:hAnsiTheme="minorEastAsia" w:eastAsiaTheme="minorEastAsia"/>
          <w:szCs w:val="21"/>
        </w:rPr>
        <w:t>若被检产品明示的质量要求低于本细则中检验项目依据的强制性标准要求时，应按照强制性标准要求判定。</w:t>
      </w:r>
    </w:p>
    <w:p w14:paraId="403B09BB">
      <w:pPr>
        <w:spacing w:line="440" w:lineRule="exact"/>
        <w:ind w:firstLine="420" w:firstLineChars="200"/>
        <w:rPr>
          <w:rFonts w:cs="Times New Roman" w:asciiTheme="minorEastAsia" w:hAnsiTheme="minorEastAsia" w:eastAsiaTheme="minorEastAsia"/>
          <w:szCs w:val="21"/>
        </w:rPr>
      </w:pPr>
      <w:r>
        <w:rPr>
          <w:rFonts w:cs="Times New Roman" w:asciiTheme="minorEastAsia" w:hAnsiTheme="minorEastAsia" w:eastAsiaTheme="minorEastAsia"/>
          <w:szCs w:val="21"/>
        </w:rPr>
        <w:t>若被检产品明示的质量要求低于或包含本细则中检验项目依据的推荐性标准要求时，应以被检产品明示的质量要求判定。</w:t>
      </w:r>
    </w:p>
    <w:p w14:paraId="77BABC84">
      <w:pPr>
        <w:spacing w:line="440" w:lineRule="exact"/>
        <w:ind w:firstLine="420" w:firstLineChars="200"/>
        <w:rPr>
          <w:rFonts w:cs="Times New Roman" w:asciiTheme="minorEastAsia" w:hAnsiTheme="minorEastAsia" w:eastAsiaTheme="minorEastAsia"/>
          <w:szCs w:val="21"/>
        </w:rPr>
      </w:pPr>
      <w:r>
        <w:rPr>
          <w:rFonts w:cs="Times New Roman" w:asciiTheme="minorEastAsia" w:hAnsiTheme="minorEastAsia" w:eastAsiaTheme="minorEastAsia"/>
          <w:szCs w:val="21"/>
        </w:rPr>
        <w:t>若被检产品明示的质量要求缺少本细则中检验项目依据的强制性标准要求时，应按照强制性标准要求判定。</w:t>
      </w:r>
    </w:p>
    <w:p w14:paraId="5C5F98B2">
      <w:pPr>
        <w:spacing w:line="440" w:lineRule="exact"/>
        <w:ind w:firstLine="420" w:firstLineChars="200"/>
      </w:pPr>
      <w:r>
        <w:rPr>
          <w:rFonts w:cs="Times New Roman" w:asciiTheme="minorEastAsia" w:hAnsiTheme="minorEastAsia" w:eastAsiaTheme="minorEastAsia"/>
          <w:szCs w:val="21"/>
        </w:rPr>
        <w:t>若被检产品明示的质量要求缺少本细则中检验项目依据的推荐性标准要求时，该项目不参与判定。</w:t>
      </w:r>
    </w:p>
    <w:p w14:paraId="00967D9B">
      <w:pPr>
        <w:spacing w:line="440" w:lineRule="exact"/>
        <w:rPr>
          <w:rFonts w:ascii="黑体" w:hAnsi="黑体" w:eastAsia="黑体" w:cs="Times New Roman"/>
          <w:szCs w:val="21"/>
        </w:rPr>
      </w:pPr>
      <w:r>
        <w:rPr>
          <w:rFonts w:hint="eastAsia" w:ascii="黑体" w:hAnsi="黑体" w:eastAsia="黑体" w:cs="Times New Roman"/>
          <w:szCs w:val="21"/>
        </w:rPr>
        <w:t>4</w:t>
      </w:r>
      <w:r>
        <w:rPr>
          <w:rFonts w:ascii="黑体" w:hAnsi="黑体" w:eastAsia="黑体" w:cs="Times New Roman"/>
          <w:szCs w:val="21"/>
        </w:rPr>
        <w:t xml:space="preserve"> 附则</w:t>
      </w:r>
    </w:p>
    <w:p w14:paraId="6C931200">
      <w:pPr>
        <w:spacing w:line="440" w:lineRule="exact"/>
        <w:jc w:val="center"/>
      </w:pPr>
      <w:r>
        <w:rPr>
          <w:rFonts w:hint="eastAsia"/>
          <w:color w:val="000000"/>
          <w:szCs w:val="21"/>
        </w:rPr>
        <w:t xml:space="preserve">    </w:t>
      </w:r>
      <w:r>
        <w:rPr>
          <w:color w:val="000000"/>
          <w:szCs w:val="21"/>
        </w:rPr>
        <w:t>本细则代替</w:t>
      </w:r>
      <w:r>
        <w:rPr>
          <w:rFonts w:hint="eastAsia"/>
          <w:color w:val="000000"/>
          <w:szCs w:val="21"/>
        </w:rPr>
        <w:t>《西藏自治区市场监督管理局关于发布&lt;产品质量监督抽查实施细则（202</w:t>
      </w:r>
      <w:r>
        <w:rPr>
          <w:rFonts w:hint="eastAsia"/>
          <w:color w:val="000000"/>
          <w:szCs w:val="21"/>
          <w:lang w:val="en-US" w:eastAsia="zh-CN"/>
        </w:rPr>
        <w:t>4</w:t>
      </w:r>
      <w:r>
        <w:rPr>
          <w:rFonts w:hint="eastAsia"/>
          <w:color w:val="000000"/>
          <w:szCs w:val="21"/>
        </w:rPr>
        <w:t>版）&gt;（第</w:t>
      </w:r>
      <w:r>
        <w:rPr>
          <w:rFonts w:hint="eastAsia"/>
          <w:color w:val="000000"/>
          <w:szCs w:val="21"/>
          <w:lang w:val="en-US" w:eastAsia="zh-CN"/>
        </w:rPr>
        <w:t>二</w:t>
      </w:r>
      <w:r>
        <w:rPr>
          <w:rFonts w:hint="eastAsia"/>
          <w:color w:val="000000"/>
          <w:szCs w:val="21"/>
        </w:rPr>
        <w:t>批）的通告》</w:t>
      </w:r>
      <w:r>
        <w:rPr>
          <w:color w:val="000000"/>
          <w:szCs w:val="21"/>
        </w:rPr>
        <w:t>中的《</w:t>
      </w:r>
      <w:r>
        <w:rPr>
          <w:rFonts w:hint="eastAsia"/>
          <w:color w:val="000000"/>
          <w:szCs w:val="21"/>
        </w:rPr>
        <w:t>西藏自治区眼镜产品质量监督抽查实施细则（202</w:t>
      </w:r>
      <w:r>
        <w:rPr>
          <w:rFonts w:hint="eastAsia"/>
          <w:color w:val="000000"/>
          <w:szCs w:val="21"/>
          <w:lang w:val="en-US" w:eastAsia="zh-CN"/>
        </w:rPr>
        <w:t>4</w:t>
      </w:r>
      <w:r>
        <w:rPr>
          <w:rFonts w:hint="eastAsia"/>
          <w:color w:val="000000"/>
          <w:szCs w:val="21"/>
        </w:rPr>
        <w:t>年版）》</w:t>
      </w:r>
      <w:r>
        <w:rPr>
          <w:color w:val="000000"/>
          <w:szCs w:val="21"/>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48E54">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CD0549">
                          <w:pPr>
                            <w:pStyle w:val="7"/>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30CD0549">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13"/>
  <w:embedSystemFont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g4ZmYzNTc2MzhiNDg2Y2E5ZWMzMjc3NjE2NmUifQ=="/>
  </w:docVars>
  <w:rsids>
    <w:rsidRoot w:val="005A6D56"/>
    <w:rsid w:val="001F0AD6"/>
    <w:rsid w:val="00271C4C"/>
    <w:rsid w:val="002A461C"/>
    <w:rsid w:val="00336C04"/>
    <w:rsid w:val="00376C30"/>
    <w:rsid w:val="003863B1"/>
    <w:rsid w:val="004F7D0C"/>
    <w:rsid w:val="005A6D56"/>
    <w:rsid w:val="00796095"/>
    <w:rsid w:val="008959A8"/>
    <w:rsid w:val="008A5DF8"/>
    <w:rsid w:val="00995461"/>
    <w:rsid w:val="009D3979"/>
    <w:rsid w:val="00B2265C"/>
    <w:rsid w:val="00D10603"/>
    <w:rsid w:val="00D24683"/>
    <w:rsid w:val="00DB6FBA"/>
    <w:rsid w:val="00E05072"/>
    <w:rsid w:val="00ED65CE"/>
    <w:rsid w:val="01E22095"/>
    <w:rsid w:val="02B349AE"/>
    <w:rsid w:val="03092820"/>
    <w:rsid w:val="03845A57"/>
    <w:rsid w:val="03B60BF9"/>
    <w:rsid w:val="04A20987"/>
    <w:rsid w:val="04BA0D70"/>
    <w:rsid w:val="04C42EA2"/>
    <w:rsid w:val="04D83B6A"/>
    <w:rsid w:val="055C0FAB"/>
    <w:rsid w:val="0621040A"/>
    <w:rsid w:val="06FD08ED"/>
    <w:rsid w:val="07391925"/>
    <w:rsid w:val="087846CF"/>
    <w:rsid w:val="09892A05"/>
    <w:rsid w:val="09D35BF6"/>
    <w:rsid w:val="0A577EA6"/>
    <w:rsid w:val="0AFE344A"/>
    <w:rsid w:val="0AFF2E86"/>
    <w:rsid w:val="0C6531BD"/>
    <w:rsid w:val="0C712FBD"/>
    <w:rsid w:val="0C7F12F7"/>
    <w:rsid w:val="0CCF38FF"/>
    <w:rsid w:val="0D6C2329"/>
    <w:rsid w:val="0DEE56BA"/>
    <w:rsid w:val="0E1E3930"/>
    <w:rsid w:val="0FE31B58"/>
    <w:rsid w:val="1037379A"/>
    <w:rsid w:val="106E264D"/>
    <w:rsid w:val="111B553C"/>
    <w:rsid w:val="115A63CB"/>
    <w:rsid w:val="116972AB"/>
    <w:rsid w:val="118A13C5"/>
    <w:rsid w:val="11BA57FF"/>
    <w:rsid w:val="120237D7"/>
    <w:rsid w:val="123A3DD7"/>
    <w:rsid w:val="12B97DBE"/>
    <w:rsid w:val="12F8527E"/>
    <w:rsid w:val="13AC4B87"/>
    <w:rsid w:val="13FC4407"/>
    <w:rsid w:val="147B1CC2"/>
    <w:rsid w:val="15C2502C"/>
    <w:rsid w:val="16210154"/>
    <w:rsid w:val="16A85E99"/>
    <w:rsid w:val="16C624EA"/>
    <w:rsid w:val="16E66CA8"/>
    <w:rsid w:val="197F131F"/>
    <w:rsid w:val="198D5B01"/>
    <w:rsid w:val="199143EE"/>
    <w:rsid w:val="19921369"/>
    <w:rsid w:val="1A437821"/>
    <w:rsid w:val="1A6B5E42"/>
    <w:rsid w:val="1ADE6BE3"/>
    <w:rsid w:val="1C2F094C"/>
    <w:rsid w:val="1C90227C"/>
    <w:rsid w:val="1C98639D"/>
    <w:rsid w:val="1D23E5F5"/>
    <w:rsid w:val="1DF24184"/>
    <w:rsid w:val="1DF52155"/>
    <w:rsid w:val="1E425E0F"/>
    <w:rsid w:val="1EFF4DAB"/>
    <w:rsid w:val="20CC7DDB"/>
    <w:rsid w:val="21D44790"/>
    <w:rsid w:val="22A30143"/>
    <w:rsid w:val="23810484"/>
    <w:rsid w:val="23C02279"/>
    <w:rsid w:val="23CB6614"/>
    <w:rsid w:val="25796649"/>
    <w:rsid w:val="257A33DD"/>
    <w:rsid w:val="27D83B8C"/>
    <w:rsid w:val="293B1047"/>
    <w:rsid w:val="29E5778C"/>
    <w:rsid w:val="2A2658E2"/>
    <w:rsid w:val="2B7C25B4"/>
    <w:rsid w:val="2DC810BF"/>
    <w:rsid w:val="2DDE357F"/>
    <w:rsid w:val="2E064A6C"/>
    <w:rsid w:val="2EBF68AD"/>
    <w:rsid w:val="2F194722"/>
    <w:rsid w:val="2F5514A4"/>
    <w:rsid w:val="302C5C1C"/>
    <w:rsid w:val="31D87E64"/>
    <w:rsid w:val="321B1AA4"/>
    <w:rsid w:val="321B766A"/>
    <w:rsid w:val="321D1044"/>
    <w:rsid w:val="32997EC6"/>
    <w:rsid w:val="330D4C19"/>
    <w:rsid w:val="337F42B4"/>
    <w:rsid w:val="341B4A8C"/>
    <w:rsid w:val="35020CF9"/>
    <w:rsid w:val="35044879"/>
    <w:rsid w:val="35126805"/>
    <w:rsid w:val="35352E7D"/>
    <w:rsid w:val="358A766C"/>
    <w:rsid w:val="36667625"/>
    <w:rsid w:val="36BC47B6"/>
    <w:rsid w:val="36DF1167"/>
    <w:rsid w:val="36FC6348"/>
    <w:rsid w:val="375D0CE9"/>
    <w:rsid w:val="381B27FE"/>
    <w:rsid w:val="3ACB555E"/>
    <w:rsid w:val="3B037579"/>
    <w:rsid w:val="3B2F036E"/>
    <w:rsid w:val="3B4A51A8"/>
    <w:rsid w:val="3BB476E8"/>
    <w:rsid w:val="3C482015"/>
    <w:rsid w:val="3CF61143"/>
    <w:rsid w:val="3CF74EBC"/>
    <w:rsid w:val="3D18555E"/>
    <w:rsid w:val="3D211F38"/>
    <w:rsid w:val="3D7E1C21"/>
    <w:rsid w:val="3D864BBD"/>
    <w:rsid w:val="3F9702CA"/>
    <w:rsid w:val="3FC87482"/>
    <w:rsid w:val="3FCE2818"/>
    <w:rsid w:val="408C5260"/>
    <w:rsid w:val="41855BCB"/>
    <w:rsid w:val="41C55588"/>
    <w:rsid w:val="43BE1B82"/>
    <w:rsid w:val="43E010AB"/>
    <w:rsid w:val="44BD69EB"/>
    <w:rsid w:val="452A328D"/>
    <w:rsid w:val="45A97DC7"/>
    <w:rsid w:val="45E83F3B"/>
    <w:rsid w:val="46FBAA59"/>
    <w:rsid w:val="470B35D1"/>
    <w:rsid w:val="47262F6D"/>
    <w:rsid w:val="47777325"/>
    <w:rsid w:val="4782357C"/>
    <w:rsid w:val="47E31325"/>
    <w:rsid w:val="486A7600"/>
    <w:rsid w:val="488937B4"/>
    <w:rsid w:val="49463453"/>
    <w:rsid w:val="4961028C"/>
    <w:rsid w:val="4A1E1CDA"/>
    <w:rsid w:val="4A520AB3"/>
    <w:rsid w:val="4AE32F36"/>
    <w:rsid w:val="4B097BF2"/>
    <w:rsid w:val="4B7F1109"/>
    <w:rsid w:val="4C524796"/>
    <w:rsid w:val="4C707740"/>
    <w:rsid w:val="4E086F29"/>
    <w:rsid w:val="4E1F1EAC"/>
    <w:rsid w:val="4EB50FA5"/>
    <w:rsid w:val="4ED6366F"/>
    <w:rsid w:val="506A1724"/>
    <w:rsid w:val="50CA095D"/>
    <w:rsid w:val="518B0CDA"/>
    <w:rsid w:val="518C7E71"/>
    <w:rsid w:val="519D207E"/>
    <w:rsid w:val="52E837CD"/>
    <w:rsid w:val="53240614"/>
    <w:rsid w:val="533237F6"/>
    <w:rsid w:val="53D63625"/>
    <w:rsid w:val="54696247"/>
    <w:rsid w:val="549B217C"/>
    <w:rsid w:val="54E029AD"/>
    <w:rsid w:val="557B0928"/>
    <w:rsid w:val="56372AA1"/>
    <w:rsid w:val="57D875B0"/>
    <w:rsid w:val="5856759A"/>
    <w:rsid w:val="58B5343B"/>
    <w:rsid w:val="58D26AB1"/>
    <w:rsid w:val="58E80082"/>
    <w:rsid w:val="59B166C6"/>
    <w:rsid w:val="5A23076E"/>
    <w:rsid w:val="5B3648CE"/>
    <w:rsid w:val="5B7D11B9"/>
    <w:rsid w:val="5BD7618C"/>
    <w:rsid w:val="5CDA5F34"/>
    <w:rsid w:val="5EF05EE3"/>
    <w:rsid w:val="5FDF9BF3"/>
    <w:rsid w:val="60866FE9"/>
    <w:rsid w:val="614A000D"/>
    <w:rsid w:val="61842912"/>
    <w:rsid w:val="62895238"/>
    <w:rsid w:val="62E018F9"/>
    <w:rsid w:val="638B61DA"/>
    <w:rsid w:val="63F027F1"/>
    <w:rsid w:val="64287ECD"/>
    <w:rsid w:val="64DB373E"/>
    <w:rsid w:val="650C50F9"/>
    <w:rsid w:val="65F22540"/>
    <w:rsid w:val="66487045"/>
    <w:rsid w:val="667A42E4"/>
    <w:rsid w:val="66867883"/>
    <w:rsid w:val="66B54875"/>
    <w:rsid w:val="66DF698C"/>
    <w:rsid w:val="67D60A87"/>
    <w:rsid w:val="68541290"/>
    <w:rsid w:val="68EF720B"/>
    <w:rsid w:val="69B1626F"/>
    <w:rsid w:val="6A73577B"/>
    <w:rsid w:val="6A9E5F94"/>
    <w:rsid w:val="6B4D2A2F"/>
    <w:rsid w:val="6B9E2823"/>
    <w:rsid w:val="6CA721E1"/>
    <w:rsid w:val="6CE87DC7"/>
    <w:rsid w:val="6D4274C8"/>
    <w:rsid w:val="6D445FFE"/>
    <w:rsid w:val="6D9A6213"/>
    <w:rsid w:val="6DAC2002"/>
    <w:rsid w:val="6EBA3E17"/>
    <w:rsid w:val="6EC9405A"/>
    <w:rsid w:val="6EF07839"/>
    <w:rsid w:val="6F0E4901"/>
    <w:rsid w:val="6F40431D"/>
    <w:rsid w:val="6FD35191"/>
    <w:rsid w:val="708A2EF1"/>
    <w:rsid w:val="70CF59C3"/>
    <w:rsid w:val="70EB475C"/>
    <w:rsid w:val="72312642"/>
    <w:rsid w:val="72344C29"/>
    <w:rsid w:val="72B27B5F"/>
    <w:rsid w:val="73337662"/>
    <w:rsid w:val="737E18B7"/>
    <w:rsid w:val="737E4439"/>
    <w:rsid w:val="73B92623"/>
    <w:rsid w:val="73C91F43"/>
    <w:rsid w:val="746D0E7A"/>
    <w:rsid w:val="7491561A"/>
    <w:rsid w:val="749B7A5D"/>
    <w:rsid w:val="75014A1B"/>
    <w:rsid w:val="75357D54"/>
    <w:rsid w:val="7551418B"/>
    <w:rsid w:val="76136DEC"/>
    <w:rsid w:val="76F140CA"/>
    <w:rsid w:val="772462D2"/>
    <w:rsid w:val="790C526F"/>
    <w:rsid w:val="7A3F3423"/>
    <w:rsid w:val="7A601D17"/>
    <w:rsid w:val="7A9B68AB"/>
    <w:rsid w:val="7B539E1E"/>
    <w:rsid w:val="7B7FF847"/>
    <w:rsid w:val="7CE3278B"/>
    <w:rsid w:val="7D2A5512"/>
    <w:rsid w:val="7D734D87"/>
    <w:rsid w:val="7E753DBE"/>
    <w:rsid w:val="7E9C4954"/>
    <w:rsid w:val="7EAB552B"/>
    <w:rsid w:val="7EE30820"/>
    <w:rsid w:val="7F997DDE"/>
    <w:rsid w:val="7FA82E30"/>
    <w:rsid w:val="7FC93EBA"/>
    <w:rsid w:val="BFBF08CE"/>
    <w:rsid w:val="D2FC14BE"/>
    <w:rsid w:val="D3CD006B"/>
    <w:rsid w:val="DBBF63F1"/>
    <w:rsid w:val="EEE7F19E"/>
    <w:rsid w:val="F4F6C969"/>
    <w:rsid w:val="FB5CF050"/>
    <w:rsid w:val="FCEB9068"/>
    <w:rsid w:val="FFBFA7E8"/>
    <w:rsid w:val="FFDA7D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eastAsia="宋体" w:cs="Times New Roman"/>
      <w:kern w:val="0"/>
      <w:sz w:val="20"/>
      <w:szCs w:val="20"/>
    </w:rPr>
  </w:style>
  <w:style w:type="paragraph" w:styleId="4">
    <w:name w:val="Normal Indent"/>
    <w:basedOn w:val="1"/>
    <w:autoRedefine/>
    <w:qFormat/>
    <w:uiPriority w:val="99"/>
    <w:pPr>
      <w:ind w:firstLine="420" w:firstLineChars="200"/>
    </w:pPr>
    <w:rPr>
      <w:rFonts w:ascii="Times New Roman" w:hAnsi="Times New Roman" w:eastAsia="仿宋"/>
    </w:rPr>
  </w:style>
  <w:style w:type="paragraph" w:styleId="5">
    <w:name w:val="annotation text"/>
    <w:basedOn w:val="1"/>
    <w:link w:val="17"/>
    <w:autoRedefine/>
    <w:qFormat/>
    <w:uiPriority w:val="0"/>
    <w:pPr>
      <w:jc w:val="left"/>
    </w:pPr>
  </w:style>
  <w:style w:type="paragraph" w:styleId="6">
    <w:name w:val="Balloon Text"/>
    <w:basedOn w:val="1"/>
    <w:link w:val="19"/>
    <w:autoRedefine/>
    <w:qFormat/>
    <w:uiPriority w:val="0"/>
    <w:rPr>
      <w:sz w:val="18"/>
      <w:szCs w:val="18"/>
    </w:rPr>
  </w:style>
  <w:style w:type="paragraph" w:styleId="7">
    <w:name w:val="footer"/>
    <w:basedOn w:val="1"/>
    <w:link w:val="16"/>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8"/>
    <w:autoRedefine/>
    <w:qFormat/>
    <w:uiPriority w:val="0"/>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autoRedefine/>
    <w:qFormat/>
    <w:uiPriority w:val="0"/>
    <w:rPr>
      <w:sz w:val="21"/>
      <w:szCs w:val="21"/>
    </w:rPr>
  </w:style>
  <w:style w:type="character" w:customStyle="1" w:styleId="14">
    <w:name w:val="fontstyle01"/>
    <w:autoRedefine/>
    <w:qFormat/>
    <w:uiPriority w:val="0"/>
    <w:rPr>
      <w:rFonts w:hint="eastAsia" w:ascii="宋体" w:hAnsi="宋体" w:eastAsia="宋体"/>
      <w:color w:val="000000"/>
      <w:sz w:val="22"/>
      <w:szCs w:val="22"/>
    </w:rPr>
  </w:style>
  <w:style w:type="character" w:customStyle="1" w:styleId="15">
    <w:name w:val="页眉 Char"/>
    <w:basedOn w:val="12"/>
    <w:link w:val="8"/>
    <w:autoRedefine/>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autoRedefine/>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5"/>
    <w:autoRedefine/>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autoRedefine/>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921</Words>
  <Characters>1269</Characters>
  <Lines>15</Lines>
  <Paragraphs>4</Paragraphs>
  <TotalTime>83</TotalTime>
  <ScaleCrop>false</ScaleCrop>
  <LinksUpToDate>false</LinksUpToDate>
  <CharactersWithSpaces>1316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曲颖白姆</cp:lastModifiedBy>
  <dcterms:modified xsi:type="dcterms:W3CDTF">2025-03-28T11:08:12Z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E4F969F2005D4EE090BB4422E118B25F_13</vt:lpwstr>
  </property>
  <property fmtid="{D5CDD505-2E9C-101B-9397-08002B2CF9AE}" pid="4" name="KSOTemplateDocerSaveRecord">
    <vt:lpwstr>eyJoZGlkIjoiZjNjODg4ZmYzNTc2MzhiNDg2Y2E5ZWMzMjc3NjE2NmUiLCJ1c2VySWQiOiI0NTU2NDk2ODEifQ==</vt:lpwstr>
  </property>
</Properties>
</file>